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https://www.autoritedelaconcurrence.fr/fr/decision-de-controle-des-concentrations/relative-la-prise-de-controle-exclusif-de-la-societe-329</w:t>
      </w:r>
    </w:p>
    <w:p>
      <w:r>
        <w:t>Pages translated : 2</w:t>
      </w:r>
    </w:p>
    <w:p/>
    <w:p>
      <w:r>
        <w:rPr>
          <w:b/>
        </w:rPr>
        <w:t>[Pages 1–2]</w:t>
      </w:r>
    </w:p>
    <w:p>
      <w:r>
        <w:t xml:space="preserve">FRENCH REPUBLIC  </w:t>
        <w:br/>
        <w:t xml:space="preserve">Decision No. 21-DCC-167 of September 20, 2021  </w:t>
        <w:br/>
        <w:t xml:space="preserve">regarding the exclusive control acquisition of Grenard Holding  </w:t>
        <w:br/>
        <w:t xml:space="preserve">by Amplitude  </w:t>
        <w:br/>
        <w:t xml:space="preserve">The Competition Authority,  </w:t>
        <w:br/>
        <w:t xml:space="preserve">Having regard to the complete notification file submitted to the mergers department on August 23, 2021,  </w:t>
        <w:br/>
        <w:t xml:space="preserve">concerning the exclusive control acquisition of Grenard Holding by Amplitude,  </w:t>
        <w:br/>
        <w:t xml:space="preserve">formalized by a transfer agreement dated August 2,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Grenard Holding which  </w:t>
        <w:br/>
        <w:t xml:space="preserve">operates car dealership businesses under the Ford brand in the departments of Ain (01), Doubs (25) and Jura (39), by Amplitude,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21-158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