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https://www.autoritedelaconcurrence.fr/fr/decision-de-controle-des-concentrations/relative-la-prise-de-controle-exclusif-de-la-societe-33</w:t>
      </w:r>
    </w:p>
    <w:p>
      <w:r>
        <w:t>Pages translated : 3</w:t>
      </w:r>
    </w:p>
    <w:p/>
    <w:p>
      <w:r>
        <w:rPr>
          <w:b/>
        </w:rPr>
        <w:t>[Pages 1–3]</w:t>
      </w:r>
    </w:p>
    <w:p>
      <w:r>
        <w:t xml:space="preserve">FRENCH REPUBLIC  </w:t>
        <w:br/>
        <w:t xml:space="preserve">Decision No. 11-DCC-130 of September 2, 2011  </w:t>
        <w:br/>
        <w:t xml:space="preserve">regarding the exclusive control of the company Gauduel Lyon by  </w:t>
        <w:br/>
        <w:t xml:space="preserve">By My Car Group  </w:t>
        <w:br/>
        <w:t xml:space="preserve">The Competition Authority,  </w:t>
        <w:br/>
        <w:t xml:space="preserve">Having regard to the notification file sent to the merger service on July 8, 2011, and declared complete on August 8, 2011, concerning the acquisition of the company Gauduel Lyon by By My Car Group;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By My Car Group, a simplified joint-stock company with variable capital, is a holding company jointly owned by Jean Louis Mosca and Jérôme Gerbier. By My Car Group is active in the distribution of new vehicles of the brands BMW, Mini, Volkswagen, Audi, Opel, Fiat, Ford, Peugeot, and Renault, the distribution of used vehicles, the sale of spare parts and automotive accessories, and the repair and maintenance of vehicles.  </w:t>
        <w:br/>
        <w:t xml:space="preserve">2. The company Gauduel Lyon SA is a French public limited company, currently controlled by the company Société Financière d’Investissement. It operates Ford car dealerships in the Rhône (69) and Isère (38) departments. These dealerships specialize in the distribution of new and used vehicles, the sale of spare parts and automotive accessories, and the repair and maintenance of vehicles.  </w:t>
        <w:br/>
        <w:t>3. The transfer agreement signed by the parties on July 1, 2011, commits the company Société Financière d’Investissement and the Gauduel partners to sell to the company By My Car Group, no later than October 3, 2011, all the shares of the company Gauduel Lyon.</w:t>
      </w:r>
    </w:p>
    <w:p>
      <w:r>
        <w:t xml:space="preserve">4. In that it results in the takeover of the company Gauduel Lyon by the company By My Car Group, the notified operation is a concentration operation within the meaning of Article L. 430-1 of the Commercial Code. The companies involved operate one or more retail stores and together achieve a total worldwide turnover of more than 75 million euros (By My Car Group: 607 million euros, Gauduel Lyon: 62 million euros). Each achieves a turnover in France in the retail sector exceeding 15 million euros. Given these turnovers, the operation does not have a Community dimension. However, the control thresholds related to retail mentioned in point II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A. DEFINITION OF MARKETS IN TERMS OF PRODUCTS AND SERVICES  </w:t>
        <w:br/>
        <w:t xml:space="preserve">5. In the automotive distribution sector, the decision-making practice distinguishes (i) the distribution of new passenger cars intended for individual customers; (ii) the distribution of new passenger cars intended for professional customers; (iii) the distribution of commercial vehicles (notably light commercial vehicles); (iv) the distribution of used vehicles; (v) the distribution of spare parts and automotive accessories; (vi) vehicle maintenance and repair services; (vii) rental services.  </w:t>
        <w:br/>
        <w:t xml:space="preserve">6. There is no need to challenge these definitions during the examination of the present operation.  </w:t>
        <w:br/>
        <w:t xml:space="preserve">7. The companies concerned are simultaneously present in six of these markets, namely (i) the distribution of new passenger cars to individual customers, (ii) the distribution of new passenger cars intended for professional customers, (iii) the distribution of commercial vehicles (notably light commercial vehicles), (iv) the distribution of used vehicles, (v) the distribution of spare parts and automotive accessories, (vi) vehicle maintenance and repair services.  </w:t>
        <w:br/>
        <w:t xml:space="preserve">B. GEOGRAPHICAL DEFINITION OF MARKETS  </w:t>
        <w:br/>
        <w:t xml:space="preserve">8. Regarding the markets for the retail sale of new or used passenger vehicles, the distribution of spare parts and automotive accessories, and vehicle maintenance and repair services, the decision-making practice retains a local geographical dimension. In fact, the analysis of the new vehicle sales markets is generally conducted at the departmental level.  </w:t>
        <w:br/>
        <w:t xml:space="preserve">9. In this case, the activities of the parties overlap only in the Isère department.  </w:t>
        <w:br/>
        <w:t xml:space="preserve">III. Competitive analysis  </w:t>
        <w:br/>
        <w:t xml:space="preserve">10. In the market for the distribution of new passenger vehicles intended for individuals, in the Isère department, By My Car Group's market share following the operation will be 10.2%.  </w:t>
        <w:br/>
        <w:t xml:space="preserve">11. In the market for the distribution of new vehicles intended for professionals, By My Car Group will hold a market share of 5.34%.  </w:t>
        <w:br/>
        <w:t xml:space="preserve">12. In the market for the distribution of new commercial vehicles, By My Car Group will hold a market share of 5.35%.  </w:t>
        <w:br/>
        <w:t xml:space="preserve">13. In the market for the distribution of used vehicles, By My Car Group will hold a market share of 1.49%.  </w:t>
        <w:br/>
        <w:t xml:space="preserve">14. In the market for vehicle maintenance and repair services, the parties were unable to provide their market shares. However, it should be noted that By My Car Group will face competition from authorized independent Ford repairers, in addition to numerous unauthorized repairers, and specialized brands such as Midas or Feu Vert, which may offer consumers vehicle maintenance and repair services of equivalent quality to those provided by the two entities.  </w:t>
        <w:br/>
        <w:t xml:space="preserve">15. Given the above elements, the operation is not likely to harm competition in the relevant markets.  </w:t>
        <w:br/>
        <w:t xml:space="preserve">DECIDES  </w:t>
        <w:br/>
        <w:t xml:space="preserve">Sole Article: The operation notified under number 11-0129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