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https://www.autoritedelaconcurrence.fr/fr/decision-de-controle-des-concentrations/relative-la-prise-de-controle-exclusif-de-la-societe-330</w:t>
      </w:r>
    </w:p>
    <w:p>
      <w:r>
        <w:t>Pages translated : 2</w:t>
      </w:r>
    </w:p>
    <w:p/>
    <w:p>
      <w:r>
        <w:rPr>
          <w:b/>
        </w:rPr>
        <w:t>[Pages 1–2]</w:t>
      </w:r>
    </w:p>
    <w:p>
      <w:r>
        <w:t xml:space="preserve">FRENCH REPUBLIC  </w:t>
        <w:br/>
        <w:t xml:space="preserve">Decision No. 21-DCC-164 of September 22, 2021  </w:t>
        <w:br/>
        <w:t>regarding the exclusive control acquisition of the company Julhiet Sterwen Group by the company Argos Wityu</w:t>
      </w:r>
    </w:p>
    <w:p>
      <w:r>
        <w:t>The Competition Authority,</w:t>
      </w:r>
    </w:p>
    <w:p>
      <w:r>
        <w:t>Having regard to the complete notification file sent to the mergers department on September 6, 2021, concerning the exclusive control acquisition of the company Julhiet Sterwen Group by the company Argos Wityu, formalized by the acquisition and asset and liability guarantee protocol signed on July 30, 2021;</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the company Argos Wityu of the company Julhiet Sterwen Group, active in the management and organization consulting sector.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21-176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