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https://www.autoritedelaconcurrence.fr/fr/decision-de-controle-des-concentrations/relative-la-prise-de-controle-exclusif-de-la-societe-331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21-DCC-201 of November 17, 2021</w:t>
        <w:br/>
        <w:t>regarding the exclusive control acquisition of the company Grand Garage de</w:t>
        <w:br/>
        <w:t>l’Essonne by the company Saga Holding</w:t>
        <w:br/>
        <w:t>The Competition Authority,</w:t>
        <w:br/>
        <w:t>Having regard to the complete notification file submitted to the mergers department on October 29, 2021,</w:t>
        <w:br/>
        <w:t>concerning the exclusive control acquisition of the company Grand Garage de l’Essonne by the company</w:t>
        <w:br/>
        <w:t>Saga Holding, formalized by a memorandum of understanding signed on October 1,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Grand Garage de</w:t>
        <w:br/>
        <w:t>l’Essonne, operating eight car dealerships under the brands Mercedes-Benz, AMG</w:t>
        <w:br/>
        <w:t>and Smart located in Dourdan (91), Les Ulis (91), Montgeron (23), Rambouillet (78), Saint-</w:t>
        <w:br/>
        <w:t>Germain-lès-Corbeil (91), Trappes (78), Valenton (94) and Viry-Châtillon (91), by the company</w:t>
        <w:br/>
        <w:t>Saga Holding, a subsidiary of the RCM group, which is itself active in the automotive distribution sector. It constitutes a concentration operation within the meaning of Article L. 430-1 of the Commercial Code. Given the turnover achieved by the companies concerned,</w:t>
        <w:br/>
        <w:t>the operation does not fall under the jurisdiction of the European Union. On the other hand, the thresholds</w:t>
        <w:br/>
        <w:t>for control relating to retail trade mentioned in II of Article L. 430-2 of the Commercial Code are exceeded. This operation is therefore subject to the provisions of Articles</w:t>
        <w:br/>
        <w:t>L. 430-3 and following of the Commercial Code relating to economic concentration.</w:t>
        <w:br/>
        <w:t>2. In view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21-169 is authorized.</w:t>
        <w:br/>
        <w:t>The acting 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