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https://www.autoritedelaconcurrence.fr/fr/decision-de-controle-des-concentrations/relative-la-prise-de-controle-exclusif-de-la-societe-333</w:t>
      </w:r>
    </w:p>
    <w:p>
      <w:r>
        <w:t>Pages translated : 2</w:t>
      </w:r>
    </w:p>
    <w:p/>
    <w:p>
      <w:r>
        <w:rPr>
          <w:b/>
        </w:rPr>
        <w:t>[Pages 1–2]</w:t>
      </w:r>
    </w:p>
    <w:p>
      <w:r>
        <w:t>FRENCH REPUBLIC</w:t>
        <w:br/>
        <w:t>Decision No. 21-DCC-203 of November 17, 2021</w:t>
        <w:br/>
        <w:t>regarding the exclusive control acquisition of the company Abredis by the</w:t>
        <w:br/>
        <w:t>Carrefour group</w:t>
        <w:br/>
        <w:t>The Competition Authority,</w:t>
        <w:br/>
        <w:t>Having regard to the complete notification file sent to the mergers department on October 19, 2021,</w:t>
        <w:br/>
        <w:t>concerning the exclusive control acquisition of the company Abredis by the Carrefour group, formalized</w:t>
        <w:br/>
        <w:t>by a promise of transfer of social rights dated October 15, 2021;</w:t>
        <w:br/>
        <w:t>Having regard to Book IV of the Commercial Code relating to the freedom of prices and competition, and</w:t>
        <w:br/>
        <w:t>notably its Articles L. 430-1 to L. 430-7;</w:t>
        <w:br/>
        <w:t>Adopts the following decision:</w:t>
        <w:br/>
        <w:t>1. The notified operation consists of the exclusive control acquisition by the companies C.S.F. and Profidis,</w:t>
        <w:br/>
        <w:t>subsidiaries of the Carrefour group, of the company Abredis, which operates a business fund primarily focused on food of the hypermarket type with an area of 3,640 m² under the Carrefour Market brand located in Les Abrets-en-Dauphiné (38). It constitutes a concentration operation within the meaning of Article L. 430-1 of the Commercial Code. Given the revenues generated by the companies involved,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21-239 is authorized.</w:t>
        <w:br/>
        <w:t>The interim 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