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https://www.autoritedelaconcurrence.fr/fr/decision-de-controle-des-concentrations/relative-la-prise-de-controle-exclusif-de-la-societe-334</w:t>
      </w:r>
    </w:p>
    <w:p>
      <w:r>
        <w:t>Pages translated : 2</w:t>
      </w:r>
    </w:p>
    <w:p/>
    <w:p>
      <w:r>
        <w:rPr>
          <w:b/>
        </w:rPr>
        <w:t>[Pages 1–2]</w:t>
      </w:r>
    </w:p>
    <w:p>
      <w:r>
        <w:t xml:space="preserve">FRENCH REPUBLIC  </w:t>
        <w:br/>
        <w:t xml:space="preserve">Decision No. 21-DCC-233 of November 30, 2021  </w:t>
        <w:br/>
        <w:t xml:space="preserve">regarding the exclusive control acquisition of the company Athanase by the  </w:t>
        <w:br/>
        <w:t xml:space="preserve">company ITM Entreprises  </w:t>
        <w:br/>
        <w:t>The Competition Authority,</w:t>
      </w:r>
    </w:p>
    <w:p>
      <w:r>
        <w:t xml:space="preserve">Having regard to the complete notification file sent to the mergers department on November 12,  </w:t>
        <w:br/>
        <w:t xml:space="preserve">2021, concerning the exclusive control acquisition of the company Athanase by the company ITM Entreprises,  </w:t>
        <w:br/>
        <w:t>formalized by the letter of intent dated November 10, 2021;</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of the company Athanase, operating  </w:t>
        <w:br/>
        <w:t xml:space="preserve">a predominantly food retail business in the form of a hypermarket, under the brand name Intermarché and with a surface area of 3,934 m², located in La Guérinière (85), by the company ITM Entreprises.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21-281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