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https://www.autoritedelaconcurrence.fr/fr/decision-de-controle-des-concentrations/relative-la-prise-de-controle-exclusif-de-la-societe-335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21-DCC-254 of December 15, 2021  </w:t>
        <w:br/>
        <w:t xml:space="preserve">regarding the exclusive control acquisition of the company  </w:t>
        <w:br/>
        <w:t xml:space="preserve">Philippe Fauveder &amp; Cie by the Léon Vincent Overseas group  </w:t>
        <w:br/>
        <w:t xml:space="preserve">The Competition Authority,  </w:t>
        <w:br/>
        <w:t xml:space="preserve">Having regard to the complete notification file submitted to the mergers department on November 29, 2021, concerning the exclusive control acquisition of the company Philippe Fauveder &amp; Cie by the Léon Vincent Overseas group, formalized by a letter of intent dated July 8, 2021;  </w:t>
        <w:br/>
        <w:t xml:space="preserve">Having regard to Book IV of the Commercial Code relating to the freedom of prices and competition, and in particular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Philippe Fauveder &amp; Cie by the Léon Vincent Overseas group, both active in the transport commissioning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21-277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