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https://www.autoritedelaconcurrence.fr/fr/decision-de-controle-des-concentrations/relative-la-prise-de-controle-exclusif-de-la-societe-336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21-DCC-269 of December 31, 2021  </w:t>
        <w:br/>
        <w:t xml:space="preserve">regarding the exclusive control acquisition of Groupe Climater  </w:t>
        <w:br/>
        <w:t xml:space="preserve">by Cobepa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13, 2021, concerning the exclusive control acquisition of Groupe Climater by  </w:t>
        <w:br/>
        <w:t xml:space="preserve">Cobepa, formalized by a purchase promise dated November 9,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parties during the investigation;  </w:t>
        <w:br/>
        <w:t xml:space="preserve">Adopts the following decision:  </w:t>
        <w:br/>
        <w:t xml:space="preserve">1. The notified operation consists of the exclusive control acquisition by Cobepa of the company  </w:t>
        <w:br/>
        <w:t xml:space="preserve">Groupe Climater, which is active in the field of climate engineering works in the  </w:t>
        <w:br/>
        <w:t xml:space="preserve">regions of Auvergne-Rhône-Alpes, Ile-de-France, Nouvelle-Aquitaine, Occitanie, and  </w:t>
        <w:br/>
        <w:t xml:space="preserve">Provence-Alpes-Côte d’Azur.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21-292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