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22-DCC-06 of January 19, 2022  </w:t>
        <w:br/>
        <w:t xml:space="preserve">regarding the exclusive control of the company Pacific Auto by the  </w:t>
        <w:br/>
        <w:t xml:space="preserve">DMD group  </w:t>
        <w:br/>
        <w:t xml:space="preserve">The Competition Authority,  </w:t>
        <w:br/>
        <w:t xml:space="preserve">Having regard to the notification file sent to the mergers department on December 23, 2021, and  </w:t>
        <w:br/>
        <w:t xml:space="preserve">declared complete on January 10, 2022, concerning the exclusive control of the company Pacific  </w:t>
        <w:br/>
        <w:t xml:space="preserve">Auto by the DMD group, formalized by a letter of intent dated May 27,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by the company DMD, belonging  </w:t>
        <w:br/>
        <w:t xml:space="preserve">to the DMD group, of the company Pacific Auto, which distributes motor vehicles in  </w:t>
        <w:br/>
        <w:t xml:space="preserve">Finistère (29).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under the jurisdiction of the European Union. On the other hand, the control thresholds related to  </w:t>
        <w:br/>
        <w:t xml:space="preserve">retail trade 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21-314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