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https://www.autoritedelaconcurrence.fr/fr/decision-de-controle-des-concentrations/relative-la-prise-de-controle-exclusif-de-la-societe-339</w:t>
      </w:r>
    </w:p>
    <w:p>
      <w:r>
        <w:t>Pages translated : 2</w:t>
      </w:r>
    </w:p>
    <w:p/>
    <w:p>
      <w:r>
        <w:rPr>
          <w:b/>
        </w:rPr>
        <w:t>[Pages 1–2]</w:t>
      </w:r>
    </w:p>
    <w:p>
      <w:r>
        <w:t xml:space="preserve">FRENCH REPUBLIC  </w:t>
        <w:br/>
        <w:t xml:space="preserve">Decision No. 22-DCC-03 of January 24, 2022  </w:t>
        <w:br/>
        <w:t xml:space="preserve">regarding the exclusive control acquisition of Groupe Oryx by  </w:t>
        <w:br/>
        <w:t xml:space="preserve">Abénex Capital  </w:t>
        <w:br/>
        <w:t xml:space="preserve">The Competition Authority,  </w:t>
        <w:br/>
        <w:t xml:space="preserve">Having regard to the complete notification file submitted to the mergers department on January 6, 2022,  </w:t>
        <w:br/>
        <w:t xml:space="preserve">concerning the acquisition of control of Groupe Oryx by Abénex Capital, formalized  </w:t>
        <w:br/>
        <w:t xml:space="preserve">by a unilateral purchase promise dated December 19,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Abénex Capital of  </w:t>
        <w:br/>
        <w:t xml:space="preserve">Groupe Oryx, which is active in the market of intermediation in real estate transactions. It constitutes a concentration operation within the meaning of Article L. 430-1 of the Commercial Code. Given the turnover achieved by the companies involved,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21-311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