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https://www.autoritedelaconcurrence.fr/fr/decision-de-controle-des-concentrations/relative-la-prise-de-controle-exclusif-de-la-societe-34</w:t>
      </w:r>
    </w:p>
    <w:p>
      <w:r>
        <w:t>Pages translated : 4</w:t>
      </w:r>
    </w:p>
    <w:p/>
    <w:p>
      <w:r>
        <w:rPr>
          <w:b/>
        </w:rPr>
        <w:t>[Pages 1–3]</w:t>
      </w:r>
    </w:p>
    <w:p>
      <w:r>
        <w:t xml:space="preserve">FRENCH REPUBLIC  </w:t>
        <w:br/>
        <w:t xml:space="preserve">Decision No. 11-DCC-131 of September 1, 2011  </w:t>
        <w:br/>
        <w:t xml:space="preserve">regarding the exclusive control of the company Aeroconseil by the  </w:t>
        <w:br/>
        <w:t xml:space="preserve">company Akka Technologies  </w:t>
        <w:br/>
        <w:t xml:space="preserve">The Competition Authority,  </w:t>
        <w:br/>
        <w:t xml:space="preserve">Having regard to the notification file submitted in full to the merger service on July 29, 2011,  </w:t>
        <w:br/>
        <w:t xml:space="preserve">regarding the exclusive control of the company Aeroconseil by the company Akka  </w:t>
        <w:br/>
        <w:t xml:space="preserve">Technologies, formalized by a transfer agreement dated July 28, 2011;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Akka Technologies is a holding company of the Akka family group, specialized in the  </w:t>
        <w:br/>
        <w:t xml:space="preserve">field of engineering and technology consulting. The range of services offered by Akka  </w:t>
        <w:br/>
        <w:t xml:space="preserve">concerns each stage of a product's life, from design to industrialization. Its  </w:t>
        <w:br/>
        <w:t xml:space="preserve">clients belong to various industrial sectors, notably aeronautics and automotive.  </w:t>
        <w:br/>
        <w:t xml:space="preserve">2. Aeroconseil is currently controlled by the company MF &amp; Associés, owned by the X family.  </w:t>
        <w:br/>
        <w:t xml:space="preserve">Aeroconseil is also active in the engineering sector and offers a set of  </w:t>
        <w:br/>
        <w:t xml:space="preserve">services covering the entire life cycle of an aircraft, from its design to its  </w:t>
        <w:br/>
        <w:t xml:space="preserve">operation. The engineering services provided by Aeroconseil concern both the  </w:t>
        <w:br/>
        <w:t xml:space="preserve">development of aircraft and the implementation of air transport.  </w:t>
        <w:br/>
        <w:t xml:space="preserve">3. Under the transfer agreement dated July 28, 2011, it is provided that the company Akka  </w:t>
        <w:br/>
        <w:t xml:space="preserve">Technologies acquires the entirety of the capital of the company Aeroconseil.  </w:t>
        <w:br/>
        <w:t xml:space="preserve">4. Insofar as it results in the exclusive control of the company Aeroconseil by the  </w:t>
        <w:br/>
        <w:t xml:space="preserve">company Akka Technologies, the notified operation constitutes a concentration within the meaning of  </w:t>
        <w:br/>
        <w:t xml:space="preserve">Article L. 430-1 of the Commercial Code. The concerned companies have achieved together a  </w:t>
        <w:br/>
        <w:t xml:space="preserve">consolidated turnover excluding taxes on a global scale of more than 150 million euros in the  </w:t>
        <w:br/>
        <w:t xml:space="preserve">last closed financial year (Akka: 400.3 million euros for the 2010 financial year; Aeroconseil:  </w:t>
        <w:br/>
        <w:t xml:space="preserve">115.5 million euros for the 2010 financial year). Each of these companies has achieved, in France,  </w:t>
        <w:br/>
        <w:t xml:space="preserve">a turnover exceeding 50 million euros (Akka: 350 million euros for the 2010 financial year;  </w:t>
        <w:br/>
        <w:t xml:space="preserve">Aeroconseil: 81 million euros for the 2010 financial year). Given these  </w:t>
        <w:br/>
        <w:t xml:space="preserve">turnovers, the operation does not have a Community dimension. However, the  </w:t>
        <w:br/>
        <w:t xml:space="preserve">control thresholds mentioned in I of Article L. 430-2 of the Commercial Code are exceeded.  </w:t>
        <w:br/>
        <w:t xml:space="preserve">This operation is therefore subject to the provisions of Articles L. 430-3 and following of the  </w:t>
        <w:br/>
        <w:t xml:space="preserve">Commercial Code relating to economic concentration.  </w:t>
        <w:br/>
        <w:t xml:space="preserve">II. Definition of Relevant Markets  </w:t>
        <w:br/>
        <w:t xml:space="preserve">A. DEFINITION OF THE PRODUCT MARKET  </w:t>
        <w:br/>
        <w:t xml:space="preserve">5. The parties are present in the engineering and technical studies markets which encompass  </w:t>
        <w:br/>
        <w:t xml:space="preserve">all operations of design and assistance in the realization of predominantly industrial equipment in  </w:t>
        <w:br/>
        <w:t xml:space="preserve">various fields such as industry, energy, transport, environment, construction, and public services.  </w:t>
        <w:br/>
        <w:t xml:space="preserve">6. The competition authorities, both French and Community, have already had the opportunity to  </w:t>
        <w:br/>
        <w:t xml:space="preserve">rule on concentration operations in the field of engineering and technical studies services. These services correspond to all the services provided during the life cycle of a product, at each stage of project management (R&amp;D, development, engineering and process, realization, operation, and maintenance). Practice has thus considered  </w:t>
        <w:br/>
        <w:t xml:space="preserve">distinguishing, within the engineering and technical studies sector, a narrower market referred to as "technology consulting," excluding from its scope engineering companies in  </w:t>
        <w:br/>
        <w:t xml:space="preserve">construction and companies offering only information system consulting. Similarly,  </w:t>
        <w:br/>
        <w:t xml:space="preserve">the competition authorities have questioned the relevance of segmenting the  </w:t>
        <w:br/>
        <w:t xml:space="preserve">engineering services market based on their sectors of intervention. In this regard, the  </w:t>
        <w:br/>
        <w:t xml:space="preserve">sectors of aeronautics, defense, telecommunications, energy, rail, banking, and insurance can be considered as relevant markets. In this case, the parties are simultaneously active in the engineering and technical studies market aimed at the aeronautics sector.  </w:t>
        <w:br/>
        <w:t xml:space="preserve">1 Decisions of the Competition Authority No. 09-DCC-71 of December 8, 2009, regarding the merger of the Coteba group and the Sogreah group,  </w:t>
        <w:br/>
        <w:t xml:space="preserve">No. 10-DCC-164 of November 18, 2010, regarding the exclusive control of IOSIS Holding by EGIS SA, and No. 11-DCC-20 of February 7,  </w:t>
        <w:br/>
        <w:t xml:space="preserve">2011, regarding the exclusive control of the APTUS group by the AUSY group.  </w:t>
        <w:br/>
        <w:t xml:space="preserve">2 Letters from the Minister of Economy dated April 29, 2003, to the board of the company Assystem regarding a concentration in the engineering sector;  </w:t>
        <w:br/>
        <w:t xml:space="preserve">dated September 10, 2003, to the boards of the company Pininfarina, regarding a concentration in the design and automotive engineering sector;  </w:t>
        <w:br/>
        <w:t xml:space="preserve">dated November 27, 2003, to the boards of the company Brime Technologies, regarding a concentration in the consulting and engineering sector;  </w:t>
        <w:br/>
        <w:t xml:space="preserve">dated October 19, 2007, to the board of the company Akka Technologies.  </w:t>
        <w:br/>
        <w:t xml:space="preserve">3 Decision of the European Commission No. M.2645 Saab / WM-Data AB / Saab Caran / JV of December 6, 2001.  </w:t>
        <w:br/>
        <w:t xml:space="preserve">4 See notably the decisions of the Competition Authority No. 09-DCC-71, No. 10-DCC-164, and No. 11-DCC-20, as well as the letters from the  </w:t>
        <w:br/>
        <w:t xml:space="preserve">Minister of Economy dated April 29, 2003, and November 27, 2003, mentioned above.  </w:t>
        <w:br/>
        <w:t xml:space="preserve">5 See the letter from the Minister of Economy dated October 19, 2007, mentioned above.  </w:t>
        <w:br/>
        <w:t>6 See the letter from the Minister of Economy dated November 27, 2003.</w:t>
      </w:r>
    </w:p>
    <w:p>
      <w:r>
        <w:t xml:space="preserve">7. The exact delineation of the engineering and technical studies markets can, however, be left open insofar as the conclusions of the competitive analysis remain unchanged regardless of the hypothesis adopted.  </w:t>
        <w:br/>
        <w:t xml:space="preserve">B. DELINEATION OF THE GEOGRAPHIC MARKET  </w:t>
        <w:br/>
        <w:t xml:space="preserve">8. Regarding the engineering and technical studies market, while practice has generally considered markets of national dimension, it has also contemplated that they could be of subnational dimension depending on the type of clientele and the missions concerned.  </w:t>
        <w:br/>
        <w:t xml:space="preserve">9. In this case, the parties specify that concerning advanced technologies such as those used in the aeronautical industry, the main clients are industrial groups of at least national dimension. For this reason, the analysis will be conducted at the national level, it being specified that the question of the exact geographic delineation of the engineering and technical studies markets can be left open in the absence of competitive issues.  </w:t>
        <w:br/>
        <w:t xml:space="preserve">III. Competitive Analysis  </w:t>
        <w:br/>
        <w:t xml:space="preserve">10. As already noted by the Competition Authority, in the field of engineering and technical studies, the supply is particularly heterogeneous and fragmented. Among the operators for whom engineering constitutes the main activity, there are specialized subsidiaries belonging to large industrial groups as well as design offices of varying sizes.  </w:t>
        <w:br/>
        <w:t xml:space="preserve">11. In the national market for engineering and technical studies, across all fields of activity, the parties estimated their market shares in 2010 at [0-5]% for the Akka group and [0-5]% for Aeroconseil, resulting in a combined market share of less than [0-5]%.  </w:t>
        <w:br/>
        <w:t xml:space="preserve">12. In the narrower market of technology consulting, the market shares of the Akka group and Aeroconseil are estimated at [5-10]% and [0-5]%, respectively, resulting in a post-operation position of [5-10]%.  </w:t>
        <w:br/>
        <w:t xml:space="preserve">13. If we consider only the segment of engineering and technical studies aimed at the aeronautics sector, the estimated market share of the new entity will remain below [5-10]%.  </w:t>
        <w:br/>
        <w:t xml:space="preserve">14. Following the operation, the Akka group will continue to face competition from, in particular, Altran ([5-10]% market share in the technology consulting segment), Assystem ([5-10]% market share in the technology consulting segment), and Alten ([5-10]% market share in the technology consulting segment).  </w:t>
        <w:br/>
        <w:t xml:space="preserve">7 Decision of the Competition Authority No. 10-DCC-164.  </w:t>
        <w:br/>
        <w:t xml:space="preserve">8 Decision of the Competition Authority No. 09-DCC-71.  </w:t>
        <w:br/>
        <w:t xml:space="preserve">9 See for example the decision of the Competition Authority No. 11-DCC-20.  </w:t>
        <w:br/>
        <w:t xml:space="preserve">10 The parties estimated their positions based on data published in 2011 by Syntec-Ingénierie, the federation of engineering professionals, which indicates that the French market for engineering and technical studies represents approximately 35 billion euros.  </w:t>
        <w:br/>
        <w:t>11 According to Syntec-Ingénierie, the French technology consulting market represents approximately 6 billion euros.</w:t>
      </w:r>
    </w:p>
    <w:p>
      <w:r>
        <w:rPr>
          <w:b/>
        </w:rPr>
        <w:t>[Pages 4–4]</w:t>
      </w:r>
    </w:p>
    <w:p>
      <w:r>
        <w:t xml:space="preserve">15. Given the above, the operation is not likely to harm competition in the engineering and technical studies markets.  </w:t>
        <w:br/>
        <w:t xml:space="preserve">DECIDES  </w:t>
        <w:br/>
        <w:t xml:space="preserve">Sole Article: The operation notified under number 11-0133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