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https://www.autoritedelaconcurrence.fr/fr/decision-de-controle-des-concentrations/relative-la-prise-de-controle-exclusif-de-la-societe-340</w:t>
      </w:r>
    </w:p>
    <w:p>
      <w:r>
        <w:t>Pages translated : 2</w:t>
      </w:r>
    </w:p>
    <w:p/>
    <w:p>
      <w:r>
        <w:rPr>
          <w:b/>
        </w:rPr>
        <w:t>[Pages 1–2]</w:t>
      </w:r>
    </w:p>
    <w:p>
      <w:r>
        <w:t xml:space="preserve">FRENCH REPUBLIC  </w:t>
        <w:br/>
        <w:t xml:space="preserve">Decision No. 22-DCC-14 of February 9, 2022  </w:t>
        <w:br/>
        <w:t xml:space="preserve">regarding the exclusive control acquisition of the company Financière Auto Performance and its subsidiaries by the company BPM Group  </w:t>
        <w:br/>
        <w:t xml:space="preserve">The Competition Authority,  </w:t>
        <w:br/>
        <w:t xml:space="preserve">Having regard to the notification file sent to the mergers department on January 17, 2022, declared complete on February 1, 2022, concerning the exclusive control acquisition of the company Financière Auto Performance and its subsidiaries by the company BPM Group, formalized by a prior offer dated December 24,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Financière Auto Performance and its subsidiaries (SARL Auto Performance 33, SARL Auto Performance 69, and SAS Auto Performance 08), which operate car dealerships respectively in Mérignac (33), Lyon (69), and Paris (75) by the company BPM Group,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22-008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