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https://www.autoritedelaconcurrence.fr/fr/decision-de-controle-des-concentrations/relative-la-prise-de-controle-exclusif-de-la-societe-341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22-DCC-17 of February 16, 2022  </w:t>
        <w:br/>
        <w:t xml:space="preserve">regarding the exclusive control acquisition of the company Synergie Automobile  </w:t>
        <w:br/>
        <w:t xml:space="preserve">by the Grim group  </w:t>
        <w:br/>
        <w:t xml:space="preserve">The Competition Authority,  </w:t>
        <w:br/>
        <w:t xml:space="preserve">Having regard to the complete notification file submitted to the mergers department on January 31, 2022,  </w:t>
        <w:br/>
        <w:t xml:space="preserve">concerning the exclusive control acquisition of the company Synergie Automobile by the Grim group,  </w:t>
        <w:br/>
        <w:t xml:space="preserve">formalized by a share transfer and acquisition agreement signed on January 6, 2022;  </w:t>
        <w:br/>
        <w:t xml:space="preserve">Having regard to Book IV of the Commercial Code relating to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Synergie Automobile,  </w:t>
        <w:br/>
        <w:t xml:space="preserve">active in the automotive distribution sector in Pau (64), Orthez (64), and Tarbes (65) by  </w:t>
        <w:br/>
        <w:t xml:space="preserve">the company Grim Holding, active in the same sector. It constitutes a concentration operation within the meaning of Article L. 430-1 of the Commercial Code. Given the turnover achieved by the companies concerned, the operation does not fall under the jurisdiction of  </w:t>
        <w:br/>
        <w:t xml:space="preserve">the European Union. However, the retail control thresholds mentioned in II of Article L. 430-2 of the Commercial Code are exceeded. This operation is therefore subject to the provisions of Articles L. 430-3 and following of the Commercial Code relating  </w:t>
        <w:br/>
        <w:t xml:space="preserve">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22-007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