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https://www.autoritedelaconcurrence.fr/fr/decision-de-controle-des-concentrations/relative-la-prise-de-controle-exclusif-de-la-societe-342</w:t>
      </w:r>
    </w:p>
    <w:p>
      <w:r>
        <w:t>Pages translated : 2</w:t>
      </w:r>
    </w:p>
    <w:p/>
    <w:p>
      <w:r>
        <w:rPr>
          <w:b/>
        </w:rPr>
        <w:t>[Pages 1–2]</w:t>
      </w:r>
    </w:p>
    <w:p>
      <w:r>
        <w:t xml:space="preserve">FRENCH REPUBLIC  </w:t>
        <w:br/>
        <w:t xml:space="preserve">Decision No. 22-DCC-23 of February 28, 2022  </w:t>
        <w:br/>
        <w:t xml:space="preserve">regarding the exclusive control acquisition of the company Financière Alizés  </w:t>
        <w:br/>
        <w:t xml:space="preserve">by the investment fund MML Capital  </w:t>
        <w:br/>
        <w:t xml:space="preserve">The Competition Authority,  </w:t>
        <w:br/>
        <w:t xml:space="preserve">Having regard to the complete notification file submitted to the mergers department on February 11, 2022  </w:t>
        <w:br/>
        <w:t xml:space="preserve">concerning the exclusive control acquisition of the company Financière Alizés by the investment fund  </w:t>
        <w:br/>
        <w:t xml:space="preserve">MML Capital, formalized by a share transfer agreement dated  </w:t>
        <w:br/>
        <w:t xml:space="preserve">February 11,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LVO développement,  </w:t>
        <w:br/>
        <w:t xml:space="preserve">controlled by the management company MML Partnership Capital VII GP, the management company of the investment fund MML Capital, of the company Financière Alizés, the parent company of the Léon Vincent Overseas group, which is active in the sector of maritime, air, and land transport commissioning. It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