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https://www.autoritedelaconcurrence.fr/fr/decision-de-controle-des-concentrations/relative-la-prise-de-controle-exclusif-de-la-societe-344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22-DCC-53 of April 8, 2022  </w:t>
        <w:br/>
        <w:t xml:space="preserve">regarding the exclusive control acquisition of the company Financière Chopot  </w:t>
        <w:br/>
        <w:t xml:space="preserve">by the JMJ Automobiles group  </w:t>
        <w:br/>
        <w:t xml:space="preserve">The Competition Authority,  </w:t>
        <w:br/>
        <w:t xml:space="preserve">Having regard to the complete notification file sent to the mergers department on March 24, 2022,  </w:t>
        <w:br/>
        <w:t xml:space="preserve">concerning the exclusive control acquisition of the company Financière Chopot by the JMJ  </w:t>
        <w:br/>
        <w:t xml:space="preserve">Automobiles group, formalized by an acquisition offer dated November 25,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Financière Chopot and  </w:t>
        <w:br/>
        <w:t xml:space="preserve">its subsidiaries, active in the automotive distribution sector, by the company JMJ  </w:t>
        <w:br/>
        <w:t xml:space="preserve">Automobiles, the parent company of the JMJ Automobiles group, also active in the automotive  </w:t>
        <w:br/>
        <w:t xml:space="preserve">distribution sector. It constitutes a concentration operation within the meaning of Article  </w:t>
        <w:br/>
        <w:t xml:space="preserve">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retail trade control thresholds mentioned in II of Article L. 430-2 of the  </w:t>
        <w:br/>
        <w:t xml:space="preserve">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21-309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