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https://www.autoritedelaconcurrence.fr/fr/decision-de-controle-des-concentrations/relative-la-prise-de-controle-exclusif-de-la-societe-346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22-DCC-48 of April 13, 2022  </w:t>
        <w:br/>
        <w:t xml:space="preserve">regarding the exclusive control acquisition of the company Financière Bacalan  </w:t>
        <w:br/>
        <w:t xml:space="preserve">by the company BlackFin Capital Partners  </w:t>
        <w:br/>
        <w:t xml:space="preserve">The Competition Authority,  </w:t>
        <w:br/>
        <w:t xml:space="preserve">Having regard to the complete notification file submitted to the mergers department on March 29, 2022,  </w:t>
        <w:br/>
        <w:t xml:space="preserve">concerning the exclusive control acquisition of the company Financière Bacalan by the company BlackFin  </w:t>
        <w:br/>
        <w:t xml:space="preserve">Capital Partners, through the company BlackFin Bacalan Holding, formalized by a share transfer agreement dated February 11,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BlackFin Capital  </w:t>
        <w:br/>
        <w:t xml:space="preserve">Partners of the company Financière Bacalan and its subsidiaries, active in the real estate development and  </w:t>
        <w:br/>
        <w:t xml:space="preserve">real estate asset management sectors. It constitutes a concentration operation within the meaning of  </w:t>
        <w:br/>
        <w:t xml:space="preserve">Article L. 430-1 of the Commercial Code. Given the turnover achieved by the concerned companies, the  </w:t>
        <w:br/>
        <w:t xml:space="preserve">operation does not fall under the jurisdiction of the European Union. On the other hand, the control thresholds  </w:t>
        <w:br/>
        <w:t xml:space="preserve">mentioned in I of Article L. 430-2 of the Commercial Code are exceeded. This operation is therefore subject  </w:t>
        <w:br/>
        <w:t xml:space="preserve">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22-054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