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https://www.autoritedelaconcurrence.fr/fr/decision-de-controle-des-concentrations/relative-la-prise-de-controle-exclusif-de-la-societe-347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REPUBLIC OF FRANCE  </w:t>
        <w:br/>
        <w:t xml:space="preserve">Decision No. 22-DCC-71 of April 22, 2022  </w:t>
        <w:br/>
        <w:t xml:space="preserve">regarding the exclusive control acquisition of the company Garage Napoléon  </w:t>
        <w:br/>
        <w:t xml:space="preserve">by the GCA group  </w:t>
        <w:br/>
        <w:t xml:space="preserve">The Competition Authority,  </w:t>
        <w:br/>
        <w:t xml:space="preserve">Having regard to the complete notification file submitted to the mergers department on March 31, 2022,  </w:t>
        <w:br/>
        <w:t xml:space="preserve">concerning the exclusive control acquisition of the company Garage Napoléon by the company  </w:t>
        <w:br/>
        <w:t xml:space="preserve">GCA Investissements, the parent company of the GCA group, formalized by a transfer protocol  </w:t>
        <w:br/>
        <w:t xml:space="preserve">dated March 17, 2022;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exclusive control acquisition of the company Garage Napoléon,  </w:t>
        <w:br/>
        <w:t xml:space="preserve">operating car dealerships in Niort, La Roche-sur-Yon, and Les Sables d’Olonne by  </w:t>
        <w:br/>
        <w:t xml:space="preserve">the GCA group, which is itself active in the automobile distribution sector. It constitutes a  </w:t>
        <w:br/>
        <w:t xml:space="preserve">concentration operation within the meaning of Article L. 430-1 of the Commercial Code. Given the  </w:t>
        <w:br/>
        <w:t xml:space="preserve">turnover generated by the companies concerned, the operation does not fall under the  </w:t>
        <w:br/>
        <w:t xml:space="preserve">jurisdiction of the European Union. On the other hand, the retail trade control thresholds mentioned in II of Article L. 430-2 of the Commercial Code are exceeded. The present  </w:t>
        <w:br/>
        <w:t xml:space="preserve">operation is therefore subject to the provisions of Articles L. 430-3 and following of the Commercial Code  </w:t>
        <w:br/>
        <w:t xml:space="preserve">relating to economic concentration.  </w:t>
        <w:br/>
        <w:t xml:space="preserve">2. In light of the elements of the file, the operation is not likely to harm competition  </w:t>
        <w:br/>
        <w:t>in the relevant markets.</w:t>
      </w:r>
    </w:p>
    <w:p>
      <w:r>
        <w:t xml:space="preserve">DECIDES  </w:t>
        <w:br/>
        <w:t xml:space="preserve">Sole Article: The operation notified under number 22-082 is authorized.  </w:t>
        <w:br/>
        <w:t xml:space="preserve">The President,  </w:t>
        <w:br/>
        <w:t xml:space="preserve">Benoît Cœuré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