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https://www.autoritedelaconcurrence.fr/fr/decision-de-controle-des-concentrations/relative-la-prise-de-controle-exclusif-de-la-societe-348</w:t>
      </w:r>
    </w:p>
    <w:p>
      <w:r>
        <w:t>Pages translated : 32</w:t>
      </w:r>
    </w:p>
    <w:p/>
    <w:p>
      <w:r>
        <w:rPr>
          <w:b/>
        </w:rPr>
        <w:t>[Pages 1–3]</w:t>
      </w:r>
    </w:p>
    <w:p>
      <w:r>
        <w:t xml:space="preserve">FRENCH REPUBLIC  </w:t>
        <w:br/>
        <w:t xml:space="preserve">Decision No. 22-DCC-74 of April 25, 2022  </w:t>
        <w:br/>
        <w:t>Regarding the exclusive control of the company Bimédia by the company TA Associates</w:t>
      </w:r>
    </w:p>
    <w:p>
      <w:r>
        <w:t xml:space="preserve">The Competition Authority,  </w:t>
        <w:br/>
        <w:t xml:space="preserve">Having regard to the notification file submitted in full to the merger service on March 3, 2022, regarding the acquisition of control of Bimédia by TA Associates, formalized by the transfer agreement of October 29, 2021;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 xml:space="preserve">Having regard to the other documents in the file;  </w:t>
        <w:br/>
        <w:t>Adopts the following decision:</w:t>
      </w:r>
    </w:p>
    <w:p>
      <w:r>
        <w:t xml:space="preserve">Summary1  </w:t>
        <w:br/>
        <w:t xml:space="preserve">By this decision, the Authority examined the exclusive control of the company Bimédia by the company TA Associates.  </w:t>
        <w:br/>
        <w:t xml:space="preserve">TA Associates manages a set of investment funds that notably hold the DL Software group, which in turn holds the company Devlyx. Both Devlyx and Bimédia are active in the sector of comprehensive cash register solutions. Their comprehensive cash register solutions are primarily intended for businesses distributing tobacco and/or press products (hereinafter "tobacco/press").  </w:t>
        <w:br/>
        <w:t xml:space="preserve">The Authority examined the effects of the operation on the market for the supply of comprehensive cash register solutions and on the market for intermediation for the sale of dematerialized services through comprehensive cash register solutions.  </w:t>
        <w:br/>
        <w:t xml:space="preserve">Regarding the supply of comprehensive cash register solutions, the Authority considered segmenting the market based on the type of user business and deemed it relevant, in this case, to conduct its analysis on the national market for the supply of comprehensive cash register solutions intended for tobacco/press, on which Devlyx and Bimédia are simultaneously active. It found that the operation would lead to a quasi-duopoly in this market and examined the likelihood of non-coordinated effects or coordinated effects. It excluded the possibility that the operation would lead to non-coordinated effects in the form of price increases given the competitive context and in particular the pricing strategy of the main competitor of the new entity and the downward trend in market prices. It considered that the risk of coordination between the new entity and its main competitor in the sole market for comprehensive cash register solutions was unlikely given the close link between this market and that of intermediation for the sale of dematerialized services and the lack of sufficient transparency in the latter.  </w:t>
        <w:br/>
        <w:t xml:space="preserve">Regarding intermediation for the sale of dematerialized services through comprehensive cash register solutions, the Authority found that this activity was closely linked to the supply of comprehensive cash register solutions intended for tobacco/press. It therefore conducted its analysis considering tobacco/press type businesses and retained a national geographic dimension. It considered that the operation was also likely to result in a quasi-duopoly in this market and examined the likelihood that it would lead to non-coordinated effects or coordinated effects. First, noting the existence of incentives for suppliers of comprehensive cash register solutions to offer the most varied and in-depth range of dematerialized services possible and the limited cost of integrating a dematerialized service into a comprehensive cash register solution compared to the revenue likely to be generated, the Authority excluded the possibility that the operation would lead to a reduction in supply or a locking out of access to the market for suppliers of dematerialized services. Second, the Authority excluded the possibility that the operation would lead to a change in pricing conditions to the detriment of suppliers of dematerialized services given the negotiating power of the vast majority of them and the existence of alternative distribution channels. Third, it excluded the possibility that the operation would lead to a change in pricing conditions to the detriment of tobacco/press given in particular that suppliers of comprehensive cash register solutions consider the level of revenue that tobacco/press can derive from the sale of dematerialized services through their comprehensive cash register solution as an important competitive lever. Fourth, it excluded the possibility that the operation would result in coordination between the new entity and its main competitor given the opacity and dynamism of the market for intermediation for the sale of dematerialized services through comprehensive cash register solutions.  </w:t>
        <w:br/>
        <w:t xml:space="preserve">Consequently, the Authority authorized the operation unconditionally.  </w:t>
        <w:br/>
        <w:t>1 This summary is strictly informative. Only the reasons for the decision numbered below are authoritative.</w:t>
      </w:r>
    </w:p>
    <w:p>
      <w:r>
        <w:t xml:space="preserve">SUMMARY  </w:t>
        <w:br/>
        <w:t xml:space="preserve">I. THE COMPANIES INVOLVED AND THE OPERATION .............. 5  </w:t>
        <w:br/>
        <w:t xml:space="preserve">II. DELIMITATION OF THE RELEVANT MARKETS ........................... 5  </w:t>
        <w:br/>
        <w:t xml:space="preserve">A. THE MARKET FOR THE SUPPLY OF COMPREHENSIVE CASH REGISTER SOLUTIONS ............................................................................................................................6  </w:t>
        <w:br/>
        <w:t xml:space="preserve">1. PRELIMINARY REMARKS ...................................................................................6  </w:t>
        <w:br/>
        <w:t xml:space="preserve">2. PRODUCT MARKETS ..............................................................................................7  </w:t>
        <w:br/>
        <w:t xml:space="preserve">a) On segmentation by type of equipment ............................................ 7  </w:t>
        <w:br/>
        <w:t xml:space="preserve">b) On segmentation by type of service .................................................. 8  </w:t>
        <w:br/>
        <w:t xml:space="preserve">c) On segmentation by type of business ............................................... 9  </w:t>
        <w:br/>
        <w:t xml:space="preserve">3. GEOGRAPHIC MARKET .......................................................................................12  </w:t>
        <w:br/>
        <w:t xml:space="preserve">B. THE MARKET FOR INTERMEDIATION FOR THE SALE OF DEMATERIALIZED SERVICES .....................................................................................................12  </w:t>
        <w:br/>
        <w:t xml:space="preserve">1. PRELIMINARY REMARKS .................................................................................12  </w:t>
        <w:br/>
        <w:t xml:space="preserve">2. PRODUCT MARKET ..............................................................................................14  </w:t>
        <w:br/>
        <w:t xml:space="preserve">a) On segmentation by type of service ............................................ 16  </w:t>
        <w:br/>
        <w:t xml:space="preserve">b) On segmentation by type of business ....................................... 17  </w:t>
        <w:br/>
        <w:t xml:space="preserve">3. GEOGRAPHIC MARKET .......................................................................................18  </w:t>
        <w:br/>
        <w:t xml:space="preserve">III. COMPETITIVE ANALYSIS .................................................... 19  </w:t>
        <w:br/>
        <w:t xml:space="preserve">A. ON THE MARKET FOR THE SUPPLY OF COMPREHENSIVE CASH REGISTER SOLUTIONS FOR TOBACCO/PRESS ........................................................19  </w:t>
        <w:br/>
        <w:t xml:space="preserve">1. ON THE CHARACTERISTICS OF THE MARKET .............................................................19  </w:t>
        <w:br/>
        <w:t xml:space="preserve">a) Market shares ................................................................................ 19  </w:t>
        <w:br/>
        <w:t xml:space="preserve">Preliminary remarks .....................................................................................19  </w:t>
        <w:br/>
        <w:t xml:space="preserve">Market shares expressed in the number of equipped points of sale and the degree of market concentration ................................................................................19  </w:t>
        <w:br/>
        <w:t xml:space="preserve">b) Characteristics of the companies ...................................................... 21  </w:t>
        <w:br/>
        <w:t xml:space="preserve">c) Characteristics of supply and demand ......................................... 21  </w:t>
        <w:br/>
        <w:t xml:space="preserve">2. ON THE RISKS OF NON-COORDINATED EFFECTS RELATING TO THE SALE PRICES OF COMPREHENSIVE CASH REGISTER SOLUTIONS .................................................22  </w:t>
        <w:br/>
        <w:t xml:space="preserve">3. ON THE RISKS OF COORDINATED EFFECTS .............................................................23  </w:t>
        <w:br/>
        <w:t xml:space="preserve">a) Analysis criteria ................................................................................... 23  </w:t>
        <w:br/>
        <w:t xml:space="preserve">b) Application to the case at hand ............................................................ 24  </w:t>
        <w:br/>
        <w:t xml:space="preserve">B. ON THE MARKET FOR INTERMEDIATION FOR THE SALE OF DEMATERIALIZED SERVICES .....................................................................................................26  </w:t>
        <w:br/>
        <w:t xml:space="preserve">1. ON THE CHARACTERISTICS OF THE MARKET .............................................................26  </w:t>
        <w:br/>
        <w:t>a) Market shares and the degree of market concentration ............ 26</w:t>
      </w:r>
    </w:p>
    <w:p>
      <w:r>
        <w:rPr>
          <w:b/>
        </w:rPr>
        <w:t>[Pages 4–6]</w:t>
      </w:r>
    </w:p>
    <w:p>
      <w:r>
        <w:t>b) The link between the market for intermediation for the sale of dematerialized services and the market for the supply of comprehensive cash register solutions ......................................................................................................... 26</w:t>
      </w:r>
    </w:p>
    <w:p>
      <w:r>
        <w:t>2. ON THE RISKS OF NON-COORDINATED EFFECTS ....................................................27</w:t>
      </w:r>
    </w:p>
    <w:p>
      <w:r>
        <w:t>a) On the risks of reducing supply and locking access to the market for suppliers of dematerialized services ............................................................ 27</w:t>
      </w:r>
    </w:p>
    <w:p>
      <w:r>
        <w:t>b) On the risks related to the level of discounts and commissions for dematerialized services .................................................................................... 28</w:t>
      </w:r>
    </w:p>
    <w:p>
      <w:r>
        <w:t>3. ON THE RISKS OF COORDINATED EFFECTS .............................................................30</w:t>
      </w:r>
    </w:p>
    <w:p>
      <w:r>
        <w:t>DECISION ..................................................................................................... 32</w:t>
      </w:r>
    </w:p>
    <w:p>
      <w:r>
        <w:t>I. The Companies Involved and the Operation</w:t>
      </w:r>
    </w:p>
    <w:p>
      <w:r>
        <w:t>1. TA Associates, an American law company, manages a set of investment funds that control companies active in the technology, financial services, healthcare, consumer goods, and commercial services sectors in the United States, Europe, and Asia (hereinafter "TA Associates" or the "acquirer"). The funds managed by TA Associates notably hold in their portfolio the DL Software group, which specializes in the marketing of management software packages, and one of its subsidiaries, Devlyx, is active in the sector of comprehensive cash register solutions.</w:t>
      </w:r>
    </w:p>
    <w:p>
      <w:r>
        <w:t>2. Bimedia Finances holds the entire capital of the company Bimedia, which in turn holds the entire capital of the companies DPDV, BURALOG, SRD MP, and SRD (hereinafter collectively referred to as "Bimedia" or "the target"). Bimedia is also active in the sector of comprehensive cash register solutions.</w:t>
      </w:r>
    </w:p>
    <w:p>
      <w:r>
        <w:t>3. The operation, materialized by the transfer agreement of October 29, 2021, consists of the acquisition by TA Associates, through its subsidiary DLPV Software SAS*, of all the shares of Bimedia Finance from its current shareholders, namely the fund Idinvest Partners, BIMFI, the fund A Plus Finance, and the management of this company. Following the operation, Bimedia will be exclusively controlled by TA Associates. Since the operation results in a change of control, it constitutes a concentration within the meaning of Article L. 430-1 of the Commercial Code.</w:t>
      </w:r>
    </w:p>
    <w:p>
      <w:r>
        <w:t>4. The companies involved together achieve a total worldwide turnover of more than 150 million euros (TA Associates: [≥ 150 million] euros for the fiscal year ending December 31, 2020; Bimedia: [≤ 150 million] euros for the fiscal year ending December 31, 2020). Each of these companies generates, in France, a turnover exceeding 50 million euros (TA Associates: [≥ 50 million] euros for the fiscal year ending December 31, 2020; Bimedia: [≥ 50 million] euros for the fiscal year ending December 31, 2020). Given these turnover figures, the operation does not have a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r>
    </w:p>
    <w:p>
      <w:r>
        <w:t>5. Devlyx and Bimedia are simultaneously active in the sector of comprehensive cash register solutions.</w:t>
      </w:r>
    </w:p>
    <w:p>
      <w:r>
        <w:t>6. The main activity of Devlyx is the provision of comprehensive cash register solutions. To ensure their distribution to retailers, Devlyx relies on a network of independent distributors. It has also established various partnerships, notably with the company Worldline Prepaid Services France (formerly Ingenico Prepaid Services France) (hereinafter "Ingenico") regarding the integration of dematerialized services into its comprehensive cash register solutions.</w:t>
      </w:r>
    </w:p>
    <w:p>
      <w:r>
        <w:t>* Correction of material error.</w:t>
      </w:r>
    </w:p>
    <w:p>
      <w:r>
        <w:t>7. Bimedia, for its part, has as its main activities the provision and distribution of comprehensive cash register solutions (via its subsidiary Buralog), the integration of dematerialized services into its comprehensive cash register solutions (via its subsidiary SRD MP), and the wholesale sale of mobile telephony products (via its subsidiary SRD).</w:t>
      </w:r>
    </w:p>
    <w:p>
      <w:r>
        <w:t>8. Given these different activities and their foreseeable developments, the effects of the operation have been analyzed on the market for the supply of comprehensive cash register solutions (A) and the integration of dematerialized services into comprehensive cash register solutions (B)2.</w:t>
      </w:r>
    </w:p>
    <w:p>
      <w:r>
        <w:t>A. THE MARKET FOR THE SUPPLY OF COMPREHENSIVE CASH REGISTER SOLUTIONS</w:t>
      </w:r>
    </w:p>
    <w:p>
      <w:r>
        <w:t>1. PRELIMINARY REMARKS</w:t>
      </w:r>
    </w:p>
    <w:p>
      <w:r>
        <w:t>9. Comprehensive cash register solutions are hardware and software equipment that allow retailers to perform various tasks related to their retail activity (cashiering, inventory management, entering supply orders, or, in some cases, marketing third-party products and services, referred to as "dematerialized services"). They are tools dedicated to the sale and management of retailers' activities around a point of sale terminal (TPV). They thus combine the usual functions of cash registers in retail (conducting transactions) and the software management of the point of sale activity.</w:t>
      </w:r>
    </w:p>
    <w:p>
      <w:r>
        <w:t>10. In this regard, the notifying party explains that comprehensive cash register solutions consist of a set of hardware and services that include (i) a cash register screen and its peripherals, such as payment terminals (TPE), a printer for receipts, and other accessories (the "hardware"), (ii) software that allows the cash register to operate (the "software"), and (iii) maintenance and technical and IT support services.</w:t>
      </w:r>
    </w:p>
    <w:p>
      <w:r>
        <w:t>11. As outlined in paragraphs 5 to 7, Devlyx and Bimedia are simultaneously active in the sector of comprehensive cash register solutions, which are ultimately marketed to local businesses, primarily businesses distributing tobacco or press products (hereinafter "tobacco/press")3.</w:t>
      </w:r>
    </w:p>
    <w:p>
      <w:r>
        <w:t>12. Devlyx and Bimedia do not have the same business model. Bimedia directly markets its comprehensive cash register solutions to local businesses through its own sales force. The notifying party considers that in this respect, Bimedia has a direct commercial relationship with local businesses and retains full control over the marketing of its offer. Devlyx, on the other hand, is presented as...</w:t>
      </w:r>
    </w:p>
    <w:p>
      <w:r>
        <w:t>2 The markets for the wholesale sale of telephony products and pipe products are not analyzed in this decision due to the absence of significant activity by Devlyx in these markets. The parties also have an advertising space sales activity through their comprehensive cash register solutions. However, this does not warrant a specific analysis since it is a completely ancillary activity to that of providing comprehensive cash register solutions, which is not or very little developed by the parties and their competitors, represents a very small share of their turnover, and does not currently appear as a strategic aspect of comprehensive cash register solutions for users.</w:t>
      </w:r>
    </w:p>
    <w:p>
      <w:r>
        <w:t>3 Between [60-70] and [60-70]% of the businesses equipped with Devlyx's comprehensive cash register solutions are tobacco/press, and between [30-40] and [30-40]% are small businesses with a food focus. Regarding Bimedia, almost all businesses equipped with its cash registers are tobacco/press, with small food-focused businesses representing less than 5%.</w:t>
      </w:r>
    </w:p>
    <w:p>
      <w:r>
        <w:rPr>
          <w:b/>
        </w:rPr>
        <w:t>[Pages 7–9]</w:t>
      </w:r>
    </w:p>
    <w:p>
      <w:r>
        <w:t>as a supplier of comprehensive cash register solutions that supplies only independent wholesale distributors specialized in distributing these products to local businesses.</w:t>
      </w:r>
    </w:p>
    <w:p>
      <w:r>
        <w:t>13. Thus, Devlyx and Bimedia have adopted different business models for the marketing of their comprehensive cash register solutions. The former relies on partners to ensure distribution, while the latter operates under an integrated model and handles the distribution of its comprehensive cash register solutions itself.</w:t>
      </w:r>
    </w:p>
    <w:p>
      <w:r>
        <w:t>14. The notifying party deduces from these differences in marketing models that the parties are not active at the same stage of the marketing of comprehensive cash register solutions.</w:t>
      </w:r>
    </w:p>
    <w:p>
      <w:r>
        <w:t>15. However, these elements alone are insufficient to conclude that there is no overlap in the activities of the parties. Indeed, it is established that the parties engage in competing activities in the supply of comprehensive cash register solutions. Furthermore, it cannot be ruled out that the operation may lead to a convergence of their business models.</w:t>
      </w:r>
    </w:p>
    <w:p>
      <w:r>
        <w:t>16. The analysis will therefore be conducted on the market for the supply of comprehensive cash register solutions.</w:t>
      </w:r>
    </w:p>
    <w:p>
      <w:r>
        <w:t>2. PRODUCT MARKETS</w:t>
      </w:r>
    </w:p>
    <w:p>
      <w:r>
        <w:t>17. The European Commission was led to analyze the cash register solutions market during the decision of June 29, 2012, in the case of Toshiba / IBM’s Retail Stores Solutions Business4. It noted that cash register solutions have the characteristic of being interconnected with other IT equipment and software in commerce, thus distinguishing them from simple electronic cash registers, which do not offer such interconnection possibilities5. Furthermore, it considered a segmentation of this market based on the type of hardware, type of commerce, or type of service.</w:t>
      </w:r>
    </w:p>
    <w:p>
      <w:r>
        <w:t>a) On segmentation by type of hardware</w:t>
      </w:r>
    </w:p>
    <w:p>
      <w:r>
        <w:t>18. The European Commission considered a segmentation of the market by type of hardware, distinguishing (i) traditional cash register systems that must be operated by a cashier ("cashier-operated POS systems"), (ii) systems combining a computer and a cash drawer ("PC-On-Cash-Drawer systems"), (iii) self-service systems, and (iv) peripheral systems such as receipt printers. However, the results of the market test did not allow it to conclude on the existence of distinct markets for each type of hardware.</w:t>
      </w:r>
    </w:p>
    <w:p>
      <w:r>
        <w:t>19. In this case, the notifying party considers that such segmentation is not relevant, particularly given that the comprehensive cash register solutions of Devlyx and Bimedia include both a traditional cash register system and peripheral systems (scanner, drawer) that are sold inseparably, and that suppliers of comprehensive cash register solutions market a "complete solution" that ensures perfect compatibility between hardware and software.</w:t>
      </w:r>
    </w:p>
    <w:p>
      <w:r>
        <w:t>20. It indeed appears that both Devlyx and Bimedia provide comprehensive cash register solutions that integrate not only a cash register system but also accessories such as a second screen visible to the consumer, a barcode scanner, a printer, or a payment terminal (TPE). As the notifying party emphasizes, the added value of a comprehensive cash register solution for a retailer lies precisely in the possibility of acquiring all the cash hardware and software that meets their expectations from a single supplier.</w:t>
      </w:r>
    </w:p>
    <w:p>
      <w:r>
        <w:t>21. In this case, it does not seem appropriate to adopt a segmentation of the market for comprehensive cash register solutions by type of hardware.</w:t>
      </w:r>
    </w:p>
    <w:p>
      <w:r>
        <w:t>b) On segmentation by type of service</w:t>
      </w:r>
    </w:p>
    <w:p>
      <w:r>
        <w:t>22. In its decision on Toshiba / IBM’s retail stores solutions business, the European Commission also considered including in the cash register solutions market the maintenance and technical support activities associated with these solutions.</w:t>
      </w:r>
    </w:p>
    <w:p>
      <w:r>
        <w:t>23. In this case, the notifying party believes that maintenance and technical support services should be included in the market for comprehensive cash register solutions since they are closely linked to the provision of comprehensive cash register solutions to points of sale and are systematically offered in contracts.</w:t>
      </w:r>
    </w:p>
    <w:p>
      <w:r>
        <w:t>24. It indeed appears that while the marketing mode of maintenance and technical support services may vary from one operator to another, the marketing of comprehensive cash register solutions, on the one hand, and the associated maintenance and technical support services, on the other hand, are closely linked.</w:t>
      </w:r>
    </w:p>
    <w:p>
      <w:r>
        <w:t>25. Bimedia outsources to a third party (the company [confidential]) the provision of hotline services, maintenance, and technical support associated with the provision of its comprehensive cash register solutions.</w:t>
      </w:r>
    </w:p>
    <w:p>
      <w:r>
        <w:t>26. Regarding Devlyx, it is its independent distributors who, in addition to selling and installing Devlyx's comprehensive cash register solutions, market and provide maintenance services for the associated equipment and software. The relationship between Devlyx and each of its partner distributors is governed by a unique distribution contract that includes clauses relating to the obligations of distributors both in terms of marketing comprehensive solutions and in terms of associated maintenance and technical support services. The mission of Devlyx distributors is thus "to ensure the promotion and marketing of the supplier's products, software, packages, and services, and (ii) the proper execution of all technical tasks (installation, training, maintenance), and (iii) to provide after-sales maintenance services to end-user clients [...]". Devlyx also highlights, on its website, the quality of intervention of its partners for technical services.</w:t>
      </w:r>
    </w:p>
    <w:p>
      <w:r>
        <w:t>27. From the demand perspective, maintenance and technical support services are indeed acquired from the same operators as the underlying cash register solution. Thus, Bimedia and most suppliers of comprehensive cash register solutions offer a subscription for maintenance/technical support service when providing the cash register solution.</w:t>
      </w:r>
    </w:p>
    <w:p>
      <w:r>
        <w:t>28. Bimedia's general sales conditions specify that the solution marketed by Bimedia includes hardware, software, and maintenance that includes maintenance services and a hotline. The notifying party emphasizes that Bimedia's maintenance contract is expressly linked to the duration of the commitment for the provision of the cash register solution.</w:t>
      </w:r>
    </w:p>
    <w:p>
      <w:r>
        <w:t>29. According to the notifying party, Devlyx distributors, for their part, offer a maintenance contract for the entire duration of the cash register solution provision contract. This duration usually varies between 48 and 60 months.</w:t>
      </w:r>
    </w:p>
    <w:p>
      <w:r>
        <w:t>30. The Confederation of tobacconists also believes that it would not be practically possible for a tobacconist to source directly from cash register hardware manufacturers that do not market a comprehensive solution "due to the existence of maintenance contracts."</w:t>
      </w:r>
    </w:p>
    <w:p>
      <w:r>
        <w:t>31. Therefore, it appears that it is not relevant to segment the market for comprehensive cash register solutions based on different types of services and that comprehensive cash register solutions and the associated maintenance and technical support services are part of a single product market.</w:t>
      </w:r>
    </w:p>
    <w:p>
      <w:r>
        <w:t>c) On segmentation by type of commerce</w:t>
      </w:r>
    </w:p>
    <w:p>
      <w:r>
        <w:t>32. The Commission also considered a segmentation of the market based on the sector of activity of clients6, noting in particular that most competitors questioned during the investigation believe that cash register systems are significantly adapted to the specific needs of each category of client7.</w:t>
      </w:r>
    </w:p>
    <w:p>
      <w:r>
        <w:t>33. However, the notifying party considers that a sub-segmentation of the market for comprehensive cash register solutions by type of commerce is not relevant. According to it, suppliers of comprehensive cash register solutions market the same catalog of basic solutions for all local businesses while offering adaptations for each major type of activity (tobacco, bakery, etc.). Similarly, they offer a complete range of peripheral tools, connected to the cash register solution, that are suitable for all local points of sale.</w:t>
      </w:r>
    </w:p>
    <w:p>
      <w:r>
        <w:t>34. The notifying party further believes that all suppliers of comprehensive cash register solutions for local businesses are able to adapt their offer without this implying investments and time that constitute significant barriers to entry.</w:t>
      </w:r>
    </w:p>
    <w:p>
      <w:r>
        <w:t>35. Regarding Bimedia, there would be no significant difference in contractual terms and prices of comprehensive cash register solutions based on the merchant's activity. Furthermore, comprehensive cash register solutions would be marketed by the same sales force regardless of this activity.</w:t>
      </w:r>
    </w:p>
    <w:p>
      <w:r>
        <w:rPr>
          <w:b/>
        </w:rPr>
        <w:t>[Pages 10–12]</w:t>
      </w:r>
    </w:p>
    <w:p>
      <w:r>
        <w:t>36. The notifying party nevertheless acknowledges that software solutions are tailored according to the specificities inherent to each type of local commerce (tobacco/newsagents, bar-restaurant, bakery, GMS…).</w:t>
        <w:br/>
        <w:t>37. In particular, for tobacco points of sale, integration of the web service offered by Logista is necessary to enable the exchange of computerized data (EDI flows) related to the ordering of tobacco products from Logista. For newsagent points of sale, it is necessary to connect the solution to the two messaging services (France messagerie and MLP) in order to integrate the EDI flows made available by each of them. This mainly consists of receiving a daily document for managing deliveries and unsold items, allowing the daily work of the press distributor to be computerized and automated.</w:t>
        <w:br/>
        <w:t>38. The notifying party estimates that the time required to develop specific solutions for the tobacco and press sector is on the order of ten to twelve months and that it is necessary to mobilize eight full-time developers to obtain a solution intended for tobacco/newsagents within this timeframe. Competitors provide estimates of a similar order.</w:t>
        <w:br/>
        <w:t>39. This specificity of demand from certain categories of clients is confirmed by the market test, which indicates that it is relevant to identify at least a specific market corresponding to the provision of comprehensive cash register solutions for tobacco/newsagents8.</w:t>
        <w:br/>
        <w:t>40. The market test confirms that comprehensive cash register solutions intended for this type of commerce incorporate essential specific functionalities such as, for example, the memorization of past orders, access to sales histories, personalized order proposals, or stock management for tobacco, as well as the detection of unsold items, real-time sales reporting, visualization of covers with a portable terminal, etc.</w:t>
        <w:br/>
        <w:t>41. Furthermore, the segmentation identified in the context of the market test also appears in the structuring of the offer in the market.</w:t>
        <w:br/>
        <w:t>42. Thus, certain players specialize exclusively in one type of commerce. In this regard, the company Logista/Strator indicates that it offers a solution exclusively dedicated to the network of tobacco/newsagents.</w:t>
        <w:br/>
        <w:t>43. This specialization is also present at Bimedia, whose clientele is almost exclusively composed of tobacco/newsagents, and at Devlyx, for whom this clientele remains the majority although less represented ([60-70]%).</w:t>
        <w:br/>
        <w:t>44. The presentation of the offers from different suppliers also reflects this segmentation by types of commerce. Thus, Bimedia, which markets a unique offer of basic hardware and software solutions, presents in various "business sheets" the necessary adaptations for each major type of activity.</w:t>
        <w:br/>
        <w:t>8 The European Commission has never had to rule on this segmentation, as this specific type of clientele was not concerned in the Toshiba/IBM decision.</w:t>
        <w:br/>
        <w:t>10</w:t>
      </w:r>
    </w:p>
    <w:p>
      <w:r>
        <w:t>Figure 1 - Presentation of Bimedia's Offer</w:t>
        <w:br/>
        <w:t>Source: Notifying Party</w:t>
        <w:br/>
        <w:t>45. The offer from Devlyx also includes software integrating specific functionalities for tobacconists and press distributors.</w:t>
        <w:br/>
        <w:t>46. While the main suppliers of comprehensive cash register solutions for tobacco/newsagents appear capable of developing an offer intended for other types of commerce – and some have already opted for a diversification strategy – the reverse appears very uncertain. Thus, companies like Devlyx or Aleda, which historically addressed tobacco/newsagents, have also developed solutions for food-dominant retail businesses that now represent a significant share of their end users. In contrast, several other operators with a more generalist profile, identified by the parties as competitors of Bimedia and Devlyx in the comprehensive cash register solutions market (such as Cashmag, Crisalid, Fiducial, or Menlog), are either very minimally present or completely absent from the tobacco/newsagents market and indicate that they are in fact unable or no longer able to compete with the parties in this market.</w:t>
        <w:br/>
        <w:t>47. This category of clientele is also characterized by the fact that it is the main user of cash register solutions integrating dematerialized services. Successive policies surrounding tobacco and press have indeed led tobacconists and press distributors to transform their business model. In addition to the arrival of new products, they find growth opportunities in the sale of dematerialized prepaid codes, money transfer services, the sale of banking products, etc.</w:t>
        <w:br/>
        <w:t>48. In this case, Devlyx and Bimedia are simultaneously active in the market for the provision of comprehensive cash register solutions intended for all local businesses and in the more restricted market for the provision of comprehensive cash register solutions intended solely for tobacco/newsagents. The analysis will be conducted on this second, more restricted market.</w:t>
        <w:br/>
        <w:t>11</w:t>
      </w:r>
    </w:p>
    <w:p>
      <w:r>
        <w:t>3. GEOGRAPHIC MARKET</w:t>
        <w:br/>
        <w:t>49. Regarding the geographic market delineation, the European Commission has left the market definition open9 while suggesting that the market would be of European or global size.</w:t>
        <w:br/>
        <w:t>50. The notifying party considers that the exact delineation of the geographic market can also be left open in this case insofar as the analysis of the operation's effects on competition remains unchanged.</w:t>
        <w:br/>
        <w:t>51. A majority of operators questioned during the investigation considered that the market dimension is national or, at the very least, highlighted various elements objectifying a national dimension. Representatives of tobacconists and newsagents thus indicated that the commercialization of comprehensive cash register solutions took place within a national scope. The suppliers of comprehensive cash register solutions for tobacco/newsagents who were questioned during the investigation unanimously indicated that they market their comprehensive cash register solutions within a national geographic scope.</w:t>
        <w:br/>
        <w:t>52. Furthermore, as highlighted by one of the respondents to the market test, cash register software is in the French language. Specifically regarding comprehensive cash register solutions intended for tobacco/newsagents, suppliers must also adapt their products and services to the distribution system of tobacco and press, which is organized at the national level. The sale and supply of tobacco retailers and newsagents are indeed regulated at the national level. The supply of tobacco can only be done from specific retailers, in accordance with national tax legislation.</w:t>
        <w:br/>
        <w:t>53. Consequently, the analysis will be conducted at the national level.</w:t>
        <w:br/>
        <w:t>B. THE MARKET FOR INTERMEDIATION FOR THE SALE OF DEMATERIALIZED SERVICES</w:t>
        <w:br/>
        <w:t>1. PRELIMINARY REMARKS</w:t>
        <w:br/>
        <w:t>54. As mentioned previously, suppliers of comprehensive cash register solutions can, directly or indirectly, integrate dematerialized services within their comprehensive cash register solutions. Local merchants, and more particularly tobacco/newsagents, can thus access a diverse catalog of dematerialized services to offer for sale to their own clientele, the general public. These dematerialized services are varied: they may include financial, telecommunication, administrative services, or even "dematerialized content" (gift cards, online game recharges, etc.).</w:t>
        <w:br/>
        <w:t>55. Suppliers of comprehensive cash register solutions thus play an intermediation role for the marketing of these services between, on the one hand, the providers of these services – who are third-party operators – and, on the other hand, local businesses (primarily tobacco/newsagents) that seek to diversify their sources of income by offering them to the general public while incurring minimal commercial risks (absence of stocks).</w:t>
        <w:br/>
        <w:t>9 Toshiba / IBM’S Retail Stores Solutions Business decision cited above, point 22.</w:t>
        <w:br/>
        <w:t>12</w:t>
      </w:r>
    </w:p>
    <w:p>
      <w:r>
        <w:rPr>
          <w:b/>
        </w:rPr>
        <w:t>[Pages 13–15]</w:t>
      </w:r>
    </w:p>
    <w:p>
      <w:r>
        <w:t xml:space="preserve">56. This intermediation activity for the sale of dematerialized services can take different forms.  </w:t>
        <w:br/>
        <w:t xml:space="preserve">57. The vast majority of providers of comprehensive cash register solutions have chosen to fully integrate this activity and offer dematerialized services directly to businesses by acting:  </w:t>
        <w:br/>
        <w:t xml:space="preserve">- either within the framework of a wholesale contract;  </w:t>
        <w:br/>
        <w:t xml:space="preserve">- or within the framework of a mandate financed by a commission.  </w:t>
        <w:br/>
        <w:t xml:space="preserve">58. The company Devlyx, for its part, goes through an intermediary (Ingenico) which itself plays a role as a wholesaler or specialized agent and to which it provides a service consisting of the technical integration of Ingenico's services into its comprehensive cash register solutions.  </w:t>
        <w:br/>
        <w:t xml:space="preserve">59. The notifying party considers in this regard that Devlyx's service, being purely technical in nature, would mean that Devlyx is not present at any stage of the commercialization of dematerialized services, contrary to Bimédia. The notifying party deduces that the activities of the parties do not overlap regarding the provision of dematerialized services.  </w:t>
        <w:br/>
        <w:t xml:space="preserve">60. However, these elements alone are insufficient to conclude that there is no overlap in the activities of the parties related to the commercialization of dematerialized services. Indeed, it is established that the parties ultimately value the intermediation activity for the sale of dematerialized services through their comprehensive cash register solutions, in the sense that they both offer, in exchange for remuneration, intermediation services allowing the commercialization of dematerialized services by merchants. Furthermore, regarding Devlyx, the mere observation that it has adopted an atypical business model in the market by entrusting the wholesaler or agent activity for the commercialization of dematerialized services through its comprehensive cash register solutions to a third-party operator (Ingenico) is insufficient to conclude that the operation would be incapable of having an impact, even indirect, on the market for intermediation for the sale of dematerialized services.  </w:t>
        <w:br/>
        <w:t xml:space="preserve">61. This market is indeed concerned by the operation for several reasons.  </w:t>
        <w:br/>
        <w:t xml:space="preserve">62. First, although Devlyx does not directly market dematerialized services, it plays a central role as an intermediary and integrator in this market since it implements the technical solutions required to enable the commercialization of these services through its comprehensive cash register solutions.  </w:t>
        <w:br/>
        <w:t xml:space="preserve">63. Next, the activity of Devlyx regarding comprehensive cash register solutions and that of Ingenico regarding the dematerialized services offered through Devlyx's comprehensive cash register solutions are very closely linked. Under the partnership contract signed with Ingenico, Devlyx grants the latter exclusivity in the intermediation activity for [confidential]. There is thus a direct and exclusive commercial relationship between Devlyx and Ingenico involving, in particular, a right of oversight by Devlyx over Ingenico's activity through its comprehensive cash register solutions but also, for Devlyx, development objectives for Ingenico's activity through its own comprehensive cash register solutions. Moreover, in the context of soliciting merchants, Devlyx distributors present a "global offer" integrating the possibility of activating Ingenico's dematerialized services: the commercial presentation brochure of the software solution offered by Devlyx (Devance+) mentions the dematerialized services marketed by Ingenico "Transform your business [...] Integrate new value-added services: Moneygram, Cash Back, PVA" and as the notifying party itself specifies, when Devlyx distributors approach merchants, they present not only the cash register solution itself but also all the other additional services that can be optionally used by merchants, including Ingenico's services. In practice, the proportion of Devlyx tobacco/newsagent clients activating Ingenico's services was indeed very high and comparable to that observed for competing comprehensive cash register solutions: around [80-90]% in October 2021. This close link is also confirmed by the structure of Devlyx's revenues, which in 2020 generated [30-40]% of its turnover from billing Ingenico for access to its cash registers to market dematerialized services. As for Ingenico, as previously mentioned, its partnership with Devlyx is exclusive and the revenue it generates through Devlyx's comprehensive cash register solutions represents a very large part of its total revenue.  </w:t>
        <w:br/>
        <w:t xml:space="preserve">64. In any case, it appears from internal documents related to the commercial strategy of the new entity post-operation that the activity currently conducted by Ingenico [confidential]. Thus, in the purchase promise dated July 15, 2021, the acquirer states that "[confidential]" and, in the context of the investigation, the notifying party clarified the fact [confidential].  </w:t>
        <w:br/>
        <w:t xml:space="preserve">65. Finally, several respondents to the market test believe that the operation could have consequences for the integration activity of dematerialized services into comprehensive cash register solutions and mention, among other things, a possible impact on the extent of the offer of dematerialized services or a possible increase in the costs of integrating these services.  </w:t>
        <w:br/>
        <w:t xml:space="preserve">2. PRODUCT MARKET  </w:t>
        <w:br/>
        <w:t>66. As previously mentioned, the dematerialized services marketed through comprehensive cash register solutions are varied: they can include financial, telecommunication, administrative products and services, or even "dematerialized content" (gift cards, online game top-ups, etc.).</w:t>
      </w:r>
    </w:p>
    <w:p>
      <w:r>
        <w:t xml:space="preserve">Main Categories of Dematerialized Services  </w:t>
        <w:br/>
        <w:t xml:space="preserve">Examples of Products and Services  </w:t>
        <w:br/>
        <w:t xml:space="preserve">Financial Services  </w:t>
        <w:br/>
        <w:t xml:space="preserve">Prepaid bank cards and top-ups for individuals without traditional bank cards (bank bans, internet users, tourists, etc.)  </w:t>
        <w:br/>
        <w:t xml:space="preserve">Dematerialized Payment Services  </w:t>
        <w:br/>
        <w:t xml:space="preserve">Money transfer solutions in France and internationally for the benefit of an individual, a bank account, or a mobile wallet, etc.  </w:t>
        <w:br/>
        <w:t xml:space="preserve">Cash deposit, purchase of a prepaid card providing access to several services including micro-credits or peer-to-peer loans, bill payments, etc.  </w:t>
        <w:br/>
        <w:t xml:space="preserve">Telecommunication Products and Services  </w:t>
        <w:br/>
        <w:t xml:space="preserve">SIM cards, mobile telecommunication credits  </w:t>
        <w:br/>
        <w:t xml:space="preserve">Administrative Services  </w:t>
        <w:br/>
        <w:t xml:space="preserve">Gray cards  </w:t>
        <w:br/>
        <w:t xml:space="preserve">Content  </w:t>
        <w:br/>
        <w:t xml:space="preserve">Prepaid cards usable in online stores of video game consoles  </w:t>
        <w:br/>
        <w:t xml:space="preserve">Online gaming and betting  </w:t>
        <w:br/>
        <w:t xml:space="preserve">Credit top-ups for video game accounts  </w:t>
        <w:br/>
        <w:t xml:space="preserve">Entertainment and Commerce  </w:t>
        <w:br/>
        <w:t xml:space="preserve">Sale of gift cards usable in various online and in-store outlets  </w:t>
        <w:br/>
        <w:t xml:space="preserve">67. It can be noted that beyond comprehensive cash register solutions, other terminals present at points of sale allow the public sale of certain of these dematerialized services. Thus, for example, certain gaming and betting terminals from Française des jeux (FDJ) currently allow access to money transfer services, "proximity payment" of taxes, fines, and current public service bills. Similarly, one of the parties' competitors, the company Aleda, offers, in addition to its comprehensive cash register solutions, electronic payment terminals ("TPE") allowing merchants to sell a number of dematerialized services.  </w:t>
        <w:br/>
        <w:t xml:space="preserve">68. Nevertheless, the commercialization of dematerialized services through a comprehensive cash register solution remains the preferred option for the vast majority of merchants, particularly in order to simplify billing management. As one respondent noted in the market test, "Alternative solutions may exist. Thus, the flow of dematerialized products can be managed partly outside the cash register but this remains less practical and less native than using the cash register system. For certain services, there will be no alternative unless considering the implementation of another 'device' [terminal] that would come in addition (additional cost)."  </w:t>
        <w:br/>
        <w:t>69. The analysis will therefore be conducted on the market for intermediation for the sale of dematerialized services through comprehensive cash register solutions while taking into account the fact that tobacco/newsagents may also marginally market certain services through other terminals.</w:t>
      </w:r>
    </w:p>
    <w:p>
      <w:r>
        <w:rPr>
          <w:b/>
        </w:rPr>
        <w:t>[Pages 16–18]</w:t>
      </w:r>
    </w:p>
    <w:p>
      <w:r>
        <w:t>a) On a Segmentation by Type of Service</w:t>
      </w:r>
    </w:p>
    <w:p>
      <w:r>
        <w:t>70. The notifying party considers that it is not relevant to segment the intermediation market for the sale of dematerialized services based on the type of dematerialized service concerned.</w:t>
      </w:r>
    </w:p>
    <w:p>
      <w:r>
        <w:t>71. According to it, from the supply perspective, the main intermediaries in dematerialized services offer a bouquet of services that always includes the same categories of services. From the demand perspective, the notifying party notes that merchants have access to the entire catalog offered by the intermediaries. The ability to centralize their supplies of dematerialized services with a single provider would constitute a logistical advantage for merchants. It is only at the consumer sales stage that the distinction between the different dematerialized services would truly make sense. However, the parties would not be active at this level.</w:t>
      </w:r>
    </w:p>
    <w:p>
      <w:r>
        <w:t>72. In this case, it indeed appears that it is access to entire catalogs integrating the different categories of dematerialized services that is offered to merchants by providers of comprehensive cash register solutions. Nevertheless, several elements justify examining the relevance of a segmentation of the intermediation market for the sale of dematerialized services by type of service.</w:t>
      </w:r>
    </w:p>
    <w:p>
      <w:r>
        <w:t>73. First, there is a variety of modes and levels of remuneration depending on the categories of services concerned. Generally, the remuneration of providers of comprehensive cash register solutions (as integrators), as well as that of merchants, consists of a commission or a discount on the final transaction. The rate of these commissions or discounts is directly negotiated with the providers of dematerialized services. Their level is relatively homogeneous within the same category of dematerialized services but diverges between different categories. For example, regarding the services marketed through Bimedia cash registers, these services are remunerated for local commerce by a commission whose rate is much higher for money transfer services ([confidential]) than for dematerialized payment services. For the services marketed through Devlyx cash registers, Devlyx's margin also varies according to the categories of services concerned.</w:t>
      </w:r>
    </w:p>
    <w:p>
      <w:r>
        <w:t>74. Second, there is a specialization of providers of dematerialized services. Different players are thus present at the stage of providing each category of service, and no provider markets services falling under several of these categories.</w:t>
      </w:r>
    </w:p>
    <w:p>
      <w:r>
        <w:t>75. Third, certain services are subject to specific regulations and require traceability or even particular certifications for both the intermediary/integrator and the merchant. For example, regarding money transfers, the merchant must notably validate mandatory training concerning the fight against money laundering and consumer fraud and be individually approved (ACPR approval). Regarding dematerialized payment methods, one of the providers of comprehensive cash register solutions specifies: "The specificity of our activity and our commitments, particularly in terms of compliance, require us to ensure the precise traceability of all coupons sold on the cash registers. In other words, each of our distributors must be able to provide a real-time report of sales made by each point of sale. When this is not possible, we cannot integrate our services." Finally, regarding the services for collecting fines and issuing tax stamps (so-called "PVA services"), they can only be offered through an approved cash register system by the DGFiP.</w:t>
      </w:r>
    </w:p>
    <w:p>
      <w:r>
        <w:t>76. Fourth, there are notable differences between segments in terms of outlets: thus, for certain categories of services, comprehensive cash register solutions intended for tobacco/newsagents represent an important outlet (this is the case, for example, for several dematerialized payment services), while for other categories, they represent only a small proportion of the outlets (this is the case, for example, for the money transfer offer).</w:t>
      </w:r>
    </w:p>
    <w:p>
      <w:r>
        <w:t>77. Lastly, there are differences in the modalities of conducting the intermediation activity according to the categories of services concerned: regarding Bimedia, although these services are marketed within a single offer, the telephony services on one hand and financial services (money transfer, prepaid cards) on the other hand are not managed by the same entity nor under the same modalities (wholesale activity in the first case and commission-based mandate system in the second).</w:t>
      </w:r>
    </w:p>
    <w:p>
      <w:r>
        <w:t>78. Given the above, it could be considered to segment the intermediation market taking into account the specificities of the different categories of dematerialized services. However, the question of the exact definition of the market may remain open, with the conclusions of the competitive analysis remaining unchanged.</w:t>
      </w:r>
    </w:p>
    <w:p>
      <w:r>
        <w:t>b) On a Segmentation by Type of Commerce</w:t>
      </w:r>
    </w:p>
    <w:p>
      <w:r>
        <w:t>79. The notifying party considers that it would not be relevant to segment the market by type of commerce.</w:t>
      </w:r>
    </w:p>
    <w:p>
      <w:r>
        <w:t>80. However, it indicates that since businesses that have no tobacco and/or press activity represent only a marginal share of the businesses offering dematerialized services to their customers, the analysis can be conducted solely on the customer base of tobacco/newsagent businesses.</w:t>
      </w:r>
    </w:p>
    <w:p>
      <w:r>
        <w:t>81. Indeed, tobacco/newsagents, which have seen their numbers significantly decrease in recent years, are facing the structural decline in tobacco sales in France and are seeking to diversify their sources of income. In this context, access to dematerialized services (sale of dematerialized prepaid codes, money transfer services, sale of banking products, etc.) constitutes one of the levers for diversifying their income and modernizing their activity. Some tobacco retailers who offer these complementary services to their customers may also benefit from a diversification of activities premium (PDA) conditioned on the sale of certain dematerialized services.</w:t>
      </w:r>
    </w:p>
    <w:p>
      <w:r>
        <w:t>82. The intermediation market for the sale of dematerialized services is therefore closely linked to the market for comprehensive cash register solutions intended for tobacco/newsagents: today, no provider offers, for this type of clientele, a comprehensive cash register solution without associated services, and the vast majority of tobacco/newsagents activate these services. Furthermore,</w:t>
      </w:r>
    </w:p>
    <w:p>
      <w:r>
        <w:t>83. The few tobacco/newsagents that do not activate access to dematerialized services via their comprehensive cash register solution are often located in rural areas where the demand for such services is lower. It may also involve, to a lesser extent, seasonal businesses or points of sale that have other terminals than cash register solutions through which they can offer dematerialized services.</w:t>
      </w:r>
    </w:p>
    <w:p>
      <w:r>
        <w:t>84. Finally, it emerges from the investigation that to date, tobacco/newsagents represent, in fact, the main distribution channel for certain categories of dematerialized services.</w:t>
      </w:r>
    </w:p>
    <w:p>
      <w:r>
        <w:t>85. Therefore, given the above, the analysis will be conducted considering tobacco/newsagent-type businesses.</w:t>
      </w:r>
    </w:p>
    <w:p>
      <w:r>
        <w:t>3. GEOGRAPHIC MARKET</w:t>
      </w:r>
    </w:p>
    <w:p>
      <w:r>
        <w:t>86. The notifying party considers that since Devlyx and Bimedia are only active in France, France constitutes a relevant geographic market for the purposes of analyzing the effects of the operation on the market for the commercialization of dematerialized services.</w:t>
      </w:r>
    </w:p>
    <w:p>
      <w:r>
        <w:t>87. In response to the market tests that were conducted as part of the investigation, the majority of respondents also indicated that they consider this market to be of national dimension. From the perspective of certain providers of dematerialized services, these can, due to their characteristics, be limited to exclusively national or even metropolitan use. For example, the Orange Money offer is only valid in metropolitan France and DROM. Furthermore, several providers suggest the existence, in fact, of a correspondence in the geographic delineation of the intermediation market for the sale of dematerialized services with that of the provision of comprehensive cash register solutions, due to their connectivity. Thus, Neosurf indicates that "Cash register providers in France effectively have a monopoly on the dematerialized services sold on their cash registers." On the side of providers of comprehensive cash register solutions and Ingenico, it is mostly considered that the market is of national dimension. Aleda indicates in this sense that "the vast majority of third-party services offered in Cash Solutions have a National dimension, for example, France in our case as well as Bimedia or other players. Indeed, the services offered are themselves dependent on national operators or regulators: mobile network operators, fine payment services, electronic money..."</w:t>
      </w:r>
    </w:p>
    <w:p>
      <w:r>
        <w:t>88. Given all these elements and particularly the existing link between the intermediation market for the sale of dematerialized services and that of the provision of comprehensive cash register solutions, the analysis of this market will therefore be conducted at the national level.</w:t>
      </w:r>
    </w:p>
    <w:p>
      <w:r>
        <w:rPr>
          <w:b/>
        </w:rPr>
        <w:t>[Pages 19–21]</w:t>
      </w:r>
    </w:p>
    <w:p>
      <w:r>
        <w:t>III. Competitive Analysis</w:t>
      </w:r>
    </w:p>
    <w:p>
      <w:r>
        <w:t>A. ON THE MARKET FOR THE SUPPLY OF COMPREHENSIVE CASH REGISTER SOLUTIONS FOR TOBACCO/NEWSAGENTS</w:t>
      </w:r>
    </w:p>
    <w:p>
      <w:r>
        <w:t>1. ON THE CHARACTERISTICS OF THE MARKET</w:t>
      </w:r>
    </w:p>
    <w:p>
      <w:r>
        <w:t>a) Market Shares</w:t>
      </w:r>
    </w:p>
    <w:p>
      <w:r>
        <w:t>Preliminary Remarks</w:t>
      </w:r>
    </w:p>
    <w:p>
      <w:r>
        <w:t>88. The notifying party indicated that it is unable to present market shares in value concerning the market it identifies as the "distribution of comprehensive cash register solutions" market. However, it considers that presenting market shares expressed in the number of equipped points of sale "is a relevant indicator to measure the respective positions of distributors of comprehensive cash register solutions in this market."</w:t>
      </w:r>
    </w:p>
    <w:p>
      <w:r>
        <w:t>89. The number of equipped points of sale also appears as a relevant indicator of the respective positions at the stage of the supply of comprehensive cash register solutions. Indeed, whether suppliers distribute their comprehensive cash register solutions directly or through independent distributors, the number of points of sale that are ultimately equipped allows for a concrete measurement of their respective positions.</w:t>
      </w:r>
    </w:p>
    <w:p>
      <w:r>
        <w:t>90. The market positions of the parties are analyzed based on data relating to the years 2019 and 2020, which are the most recent for which the information provided by the various operators in the market is complete.</w:t>
      </w:r>
    </w:p>
    <w:p>
      <w:r>
        <w:t>91. The notifying party specifies that two distributors ceased to source from Devlyx in December 2021, in favor of a competing supplier. It consequently suggests not attributing to Devlyx the [700-800] points of sale currently served by these two distributors for the calculation of its market share. However, it appears that proceeding in this manner would not accurately reflect the position held by Devlyx in the market for the supply of comprehensive cash register solutions. Indeed, there is no reason to subtract from Devlyx's market shares the points of sale actually equipped with Devlyx comprehensive cash register solutions solely because the distributor that had served these merchants is now sourcing from a competitor, since nothing excludes that the contracts of these merchants are still in effect or that, at the end of these contracts, other distributors may continue to supply them with Devlyx solutions.</w:t>
      </w:r>
    </w:p>
    <w:p>
      <w:r>
        <w:t>92. As mentioned previously, the parties are primarily active in the market for the supply of comprehensive cash register solutions intended for tobacco/newsagents. The remainder of the analysis will therefore be conducted considering this narrower market in order to contemplate the most conservative scenario.</w:t>
      </w:r>
    </w:p>
    <w:p>
      <w:r>
        <w:t>Market shares expressed in the number of equipped tobacco/newsagent points of sale and the degree of market concentration</w:t>
      </w:r>
    </w:p>
    <w:p>
      <w:r>
        <w:t>93. The notifying party estimates that the total number of "tobacco and/or newsagent points of sale relevant to the analysis of this potential segment represents 26,292 points of sale," which corresponds, according to it, to the sum of (i) the total number of tobacconists (24,000 points of sale) and (ii) the press distributors that do not have a tobacconist activity, do not integrate an integrated network that has developed its own comprehensive cash register solutions, and whose profile is compatible with the use of comprehensive cash register solutions (excluding press sections in supermarkets, kiosks, etc.). On this basis, the notifying party's estimates result in market shares of [10-20]% for "Devlyx Distributors" ([confidential] tobacco/newsagents) and [20-30]% for Bimedia ([confidential] tobacco/newsagents).</w:t>
      </w:r>
    </w:p>
    <w:p>
      <w:r>
        <w:t>94. It emerges from the investigation that, after reconstructing the market based on data from all suppliers of comprehensive cash register solutions, the total number of points of sale retained by the notifying party for the calculation of market shares is overestimated. The number to be retained is less than 24,000. On this basis, the market shares are as follows:</w:t>
      </w:r>
    </w:p>
    <w:p>
      <w:r>
        <w:t>Market shares expressed in the number of equipped tobacco/newsagent points of sale</w:t>
      </w:r>
    </w:p>
    <w:p>
      <w:r>
        <w:t>Market Shares</w:t>
      </w:r>
    </w:p>
    <w:p>
      <w:r>
        <w:t>Suppliers13 %</w:t>
      </w:r>
    </w:p>
    <w:p>
      <w:r>
        <w:t>2019</w:t>
      </w:r>
    </w:p>
    <w:p>
      <w:r>
        <w:t>Devlyx [20-30] %</w:t>
      </w:r>
    </w:p>
    <w:p>
      <w:r>
        <w:t>Bimedia [20-30] %</w:t>
      </w:r>
    </w:p>
    <w:p>
      <w:r>
        <w:t>New entity [40-50] %</w:t>
      </w:r>
    </w:p>
    <w:p>
      <w:r>
        <w:t>Logista [40-50] %</w:t>
      </w:r>
    </w:p>
    <w:p>
      <w:r>
        <w:t>Aleda [5-10] %</w:t>
      </w:r>
    </w:p>
    <w:p>
      <w:r>
        <w:t>Crisalid [0-5] %</w:t>
      </w:r>
    </w:p>
    <w:p>
      <w:r>
        <w:t>Competitors [50-60] %</w:t>
      </w:r>
    </w:p>
    <w:p>
      <w:r>
        <w:t>Total market 100 %</w:t>
      </w:r>
    </w:p>
    <w:p>
      <w:r>
        <w:t>2020</w:t>
      </w:r>
    </w:p>
    <w:p>
      <w:r>
        <w:t>Devlyx [10-20] %</w:t>
      </w:r>
    </w:p>
    <w:p>
      <w:r>
        <w:t>Bimedia [20-30] %</w:t>
      </w:r>
    </w:p>
    <w:p>
      <w:r>
        <w:t>New entity [40-50] %</w:t>
      </w:r>
    </w:p>
    <w:p>
      <w:r>
        <w:t>Logista [50-60] %</w:t>
      </w:r>
    </w:p>
    <w:p>
      <w:r>
        <w:t>Aleda [0-5] %</w:t>
      </w:r>
    </w:p>
    <w:p>
      <w:r>
        <w:t>Crisalid 0.0 %</w:t>
      </w:r>
    </w:p>
    <w:p>
      <w:r>
        <w:t>Competitors [50-60] %</w:t>
      </w:r>
    </w:p>
    <w:p>
      <w:r>
        <w:t>Total market 100 %</w:t>
      </w:r>
    </w:p>
    <w:p>
      <w:r>
        <w:t>95. As can be seen from the table above, the concentration occurs between two operators whose respective market shares are [10-20]% for Devlyx and [20-30]% for Bimedia. Post-operation, the cumulative share of the new entity will be [40-50]%, a level slightly below the market share held by the main operator in the sector, Logista, which is around [50-60]%. The only other remaining competitor is Aleda, which represents approximately [0-5]% market share.</w:t>
      </w:r>
    </w:p>
    <w:p>
      <w:r>
        <w:t>96. It follows that, post-operation, the new entity and its competitor, Logista, will find themselves in a quasi-duopolistic situation with a cumulative market share of around [90-100]%.</w:t>
      </w:r>
    </w:p>
    <w:p>
      <w:r>
        <w:t>97. The degree of concentration of a market can also be measured using the Herfindahl-Hirschman Index (hereinafter "HHI"). According to paragraph 627 of the guidelines, the Authority particularly considers that "it is unlikely that a concentration will generate horizontal effects in a market where the post-operation HHI is below 1,000. These markets generally do not require an in-depth analysis. It is also unlikely that a transaction will generate horizontal effects in a market when the post-operation HHI is between 1,000 and 2,000 and the delta is below 250, or when the post-operation HHI is above 2,000, but the delta is below 150. Conversely, the existence of horizontal effects is presumed when the post-operation HHI is between 1,000 and 2,000 and the delta is above 250, or when the post-operation HHI is above 2,000 and the delta is above 150."</w:t>
      </w:r>
    </w:p>
    <w:p>
      <w:r>
        <w:t>98. In this case, the market was already highly concentrated before the operation (pre-operation HHI of 3,617). The increase in the degree of market concentration resulting from the operation will nonetheless be significant, with a post-operation HHI of 4,573, resulting in an HHI delta of 956. Consequently, the thresholds related to the degree of concentration set forth in the guidelines are exceeded, and the existence of horizontal effects resulting from the operation can be presumed.</w:t>
      </w:r>
    </w:p>
    <w:p>
      <w:r>
        <w:t>b) Characteristics of the Companies</w:t>
      </w:r>
    </w:p>
    <w:p>
      <w:r>
        <w:t>99. Several respondents to the market test highlight the privileged position of the company Logista and its subsidiary Strator. Logista is a European-scale player; it is the historical operator in the tobacco market in France, responsible for the distribution of products from tobacco manufacturers to tobacconists throughout the territory. This company emerged from the restructuring of SEITA, the former holder of the tobacco monopoly in France. It appears as the market leader and currently holds approximately [50-60]% of the market shares for the supply of comprehensive cash register solutions intended for tobacco/newsagents.</w:t>
      </w:r>
    </w:p>
    <w:p>
      <w:r>
        <w:t>100. It emerges from the investigation that the dynamics of market share evolution over recent years have largely benefited this company. According to several declarants, this results from the aggressive pricing strategy it has adopted in the market for the supply of comprehensive cash register solutions intended for tobacco/newsagents.</w:t>
      </w:r>
    </w:p>
    <w:p>
      <w:r>
        <w:t>c) Characteristics of Supply and Demand</w:t>
      </w:r>
    </w:p>
    <w:p>
      <w:r>
        <w:t>101. It emerges from the market test that comprehensive cash register solutions are generally marketed to merchants under a leasing contract with financing, and that the proportion of purchases for this type of equipment is lower.</w:t>
      </w:r>
    </w:p>
    <w:p>
      <w:r>
        <w:t>102. The duration of these contracts is generally four years. The merchant is therefore, in principle, only free to change cash register solution providers at the end of this period. However, several operators report practices of buying out ongoing contracts, a "common market practice and even almost mandatory to win a deal." These practices can take the form of either a settlement of the total remaining amount owed by the merchant to its previous comprehensive cash register solution provider or a deferral of the billing start date by the new provider to the date corresponding to the end of the billing of the remaining rents owed to the previous provider. This type of practice allows for greater fluidity by enabling merchants to put different suppliers of comprehensive cash register solutions in competition before a given market. See for this purpose paragraphs 573 and 627 of the Authority's guidelines on concentrations.</w:t>
      </w:r>
    </w:p>
    <w:p>
      <w:r>
        <w:rPr>
          <w:b/>
        </w:rPr>
        <w:t>[Pages 22–24]</w:t>
      </w:r>
    </w:p>
    <w:p>
      <w:r>
        <w:t>even the term of their contract. However, the market test did not allow for a precise objectification of the extent of these practices.</w:t>
      </w:r>
    </w:p>
    <w:p>
      <w:r>
        <w:t>103. Several respondents suggest a certain loyalty of tobacconists/newsagents to their cash register solution, primarily for reasons of usage habits. One respondent indicates that the merchant is quite loyal to their comprehensive cash register solution provider "mainly for reasons of habit, especially since once accustomed to a cash management system, it is difficult to invest additional training time. It is also certain that when exclusive features exist on a solution concerning a regulated market (tobacco, for example), it is more difficult to choose another solution."</w:t>
      </w:r>
    </w:p>
    <w:p>
      <w:r>
        <w:t>104. However, according to the notifying party, the market for the supply of comprehensive cash register solutions would be characterized by a low level of loyalty. According to them, this would be linked to the fact that price would be the main factor in the choice for points of sale.</w:t>
      </w:r>
    </w:p>
    <w:p>
      <w:r>
        <w:t>105. It indeed emerges from the investigation that the market has experienced a significant attrition rate for several years. Thus, for the period from 2017 to 2021, attrition rates varied, depending on the suppliers concerned, with levels ranging between [5-10] and [20-30] % approximately (for contracts nearing expiration), and Logista was able to capture up to [20-30] % of its competitors' portfolio nearing the end of their contracts.</w:t>
      </w:r>
    </w:p>
    <w:p>
      <w:r>
        <w:t>106. These elements indicate a certain fluidity in the market. They also confirm the strong dynamics of capturing points of sale by Logista, whose rates of acquiring new clients from competitors in recent years are generally higher than those observed for its competitors.</w:t>
      </w:r>
    </w:p>
    <w:p>
      <w:r>
        <w:t>2. ON THE RISKS OF UNCOORDINATED EFFECTS RELATING TO THE SALE PRICES OF COMPREHENSIVE CASH REGISTER SOLUTIONS</w:t>
      </w:r>
    </w:p>
    <w:p>
      <w:r>
        <w:t>107. The notifying party emphasizes that the parties will have neither the incentive nor the capacity to raise their prices due to the risk of losing their customers to Logista/Strator or to Devlyx distributors.</w:t>
      </w:r>
    </w:p>
    <w:p>
      <w:r>
        <w:t>108. It cannot be excluded that in the medium or long term, the distribution activity currently carried out by Devlyx distributors may be internalized by the new entity, limiting the competitive capacity of independent distributors in this market. The risk of customer loss to independent distributors thus appears purely theoretical and does not, in itself, exclude an incentive for the new entity to raise the sale price of its comprehensive cash register solutions.</w:t>
      </w:r>
    </w:p>
    <w:p>
      <w:r>
        <w:t>109. On the other hand, the new entity will face competition in the market for comprehensive cash register solutions intended for tobacconists/newsagents from Logista/Stator. It emerges from the investigation that the latter adopts an aggressive pricing strategy and that the market generally experiences a global downward trend in the prices of comprehensive cash register solutions. According to the notifying party's best estimates, the cost of a comprehensive cash register solution has nearly been divided by four in recent years. From the perspective of some respondents, the operation could even result in increased price competition among suppliers of comprehensive cash register solutions. It is also not excluded that the company Aleda, currently holding a market share of around [0-5] %, may also be able to exert price rivalry and discipline the new entity. In such a context, the risk of price increases from the new entity appears diminished, especially since suppliers of comprehensive cash register solutions are capable of compensating for any potential price decreases in this market due to the margins they achieve from the intermediation activity for the sale of dematerialized services.</w:t>
      </w:r>
    </w:p>
    <w:p>
      <w:r>
        <w:t>3. ON THE RISKS OF COORDINATED EFFECTS</w:t>
      </w:r>
    </w:p>
    <w:p>
      <w:r>
        <w:t>110. Several respondents to the market test mention a post-operation duopolistic or oligopolistic situation. As previously mentioned, the new entity and Logista will indeed share the bulk of the market (with a market share of around [40-50] % for the new entity and [50-60] % for Logista), the remainder of the market being primarily addressed by Aleda (with a market share of around [0-5] %).</w:t>
      </w:r>
    </w:p>
    <w:p>
      <w:r>
        <w:t>a) Analysis Criteria</w:t>
      </w:r>
    </w:p>
    <w:p>
      <w:r>
        <w:t>111. According to points 737 and following of the guidelines, "[a] concentration can change the nature of competition in a market such that companies that previously did not coordinate their behavior are much more likely to do so or, if they already coordinated their behaviors, can do so more easily. This is referred to as coordinated effects, the creation or strengthening of a collective dominant position or a collusive oligopoly, the operation increasing the incentives and capacity of the companies present in the market to maintain a tacit collusive equilibrium. [...] The coordination in question here is 'tacit' and not 'express', each company being assumed to continue to behave independently, according to its own interests" (emphasis added).</w:t>
      </w:r>
    </w:p>
    <w:p>
      <w:r>
        <w:t>112. Such effects are possible when "in an oligopolistic market or a highly concentrated market, a concentration results in, becoming aware of common interests, each member of the relevant oligopoly considering it possible, economically rational, and therefore preferable, to adopt a sustained common course of action in the market, for example, with the aim of selling above competitive prices, without having to enter into an agreement or resort to a concerted practice within the meaning of Articles L. 420-1 of the Commercial Code or 101 of the Treaty on the Functioning of the European Union, and without current or potential competitors, or customers and consumers, being able to react effectively."</w:t>
      </w:r>
    </w:p>
    <w:p>
      <w:r>
        <w:t>113. In a decision dated July 31, 2009, the Council of State clarified the analytical framework for assessing the risks of creating or strengthening, due to a concentration operation, a situation of collective dominant position: "On the minister's assessment of the risks of creating or strengthening, due to the contested operation, a situation of collective dominant position: Considering that the behaviors of operators in an oligopolistic situation in a market can, even in the absence of any formal agreement, be implicitly coordinated, so that the power of these operators in the market is increased, to the detriment, in particular, of consumers; that the identification of such a collective dominant position requires that, taking into account the various indices and pieces of evidence that may be noted, it appears that each member of the oligopoly is able to know sufficiently precisely and immediately the evolution of the behavior of others, that there are credible threats of retaliation in case of deviation from the implicitly approved course of action by all, and that the predictable reactions of consumers and current or potential competitors of the oligopoly cannot suffice to undermine the expected results of the tacit collusion."</w:t>
      </w:r>
    </w:p>
    <w:p>
      <w:r>
        <w:t>114. The decision-making practice has thus highlighted three conditions for assessing coordinated effects resulting from a concentration operation:</w:t>
        <w:br/>
        <w:t>- a detection condition;</w:t>
        <w:br/>
        <w:t>- a deterrence condition; and</w:t>
        <w:br/>
        <w:t>- a non-contestation condition.</w:t>
      </w:r>
    </w:p>
    <w:p>
      <w:r>
        <w:t>115. The Court of Justice of the European Union specifies that it is not sufficient to verify each of these conditions separately but that it is necessary to highlight a scenario of tacit coordination.</w:t>
      </w:r>
    </w:p>
    <w:p>
      <w:r>
        <w:t>b) Application to the Case at Hand</w:t>
      </w:r>
    </w:p>
    <w:p>
      <w:r>
        <w:t>116. As a preliminary point, it should be recalled that the proposed operation will lead to a reduction in the number of suppliers of comprehensive cash register solutions intended for tobacconists/newsagents from four to three and, in fact, to a situation of quasi-duopoly regarding the degree of market concentration and the market power of the parties.</w:t>
      </w:r>
    </w:p>
    <w:p>
      <w:r>
        <w:t>117. The members of this quasi-duopoly, namely Logista/Strator on one hand, and the new entity on the other, will be all the more likely to coordinate their behaviors as they are historically established operators in the market and the market necessities induce an exchange between them. All suppliers of comprehensive cash register solutions for tobacconists/newsagents indeed interact with Logista as a wholesale supplier of tobacco products. One respondent to the market test specifies in this regard that "the information necessary for managing the sale of tobacco products is held solely by Logista France, which, as a historical distributor in a quasi-monopoly situation, has a significant database containing all references and data related to tobacco products. Suppliers of comprehensive cash register solutions currently do not have access to this database established by Logista France, except for the Strator solution, which has access in its capacity as a division of Logista France."</w:t>
      </w:r>
    </w:p>
    <w:p>
      <w:r>
        <w:t>118. The notifying party notes that there is an asymmetry between the companies concerned, particularly due to the fact that Devlyx will continue to distribute its solutions indirectly through distributors. While it is true that maintaining the partnership of Devlyx with its distributors would limit the incentive and capacity for coordination of the new entity with Logista/Strator, nothing, however, excludes that in the medium term, the distribution activity of the new entity to tobacconists/newsagents may be fully internalized. Such a shift towards vertical integration of all operators would favor collusive risks. The fact that Devlyx currently distributes its products indirectly does not, in itself, constitute a sufficient element to exclude any risk of collusion in the medium or long term.</w:t>
      </w:r>
    </w:p>
    <w:p>
      <w:r>
        <w:rPr>
          <w:b/>
        </w:rPr>
        <w:t>[Pages 25–27]</w:t>
      </w:r>
    </w:p>
    <w:p>
      <w:r>
        <w:t>119. Certain elements could, however, limit the ability of the concerned companies to coordinate their behaviors in the market for comprehensive cash register solutions. Indeed, there are doubts regarding the existence of sufficient transparency to allow for coordination (detection criterion) or regarding the absence of competitive reaction capacity (non-contestation criterion).</w:t>
      </w:r>
    </w:p>
    <w:p>
      <w:r>
        <w:t>120. The notifying party mentions a certain opacity in the market and a difficulty for competitors to reconstruct the prices charged by one another. The market test is inconclusive on this point, and there remains uncertainty regarding the existence of sufficient transparency to allow each member to know sufficiently precisely and immediately the behavior of each of the other members in the market.</w:t>
      </w:r>
    </w:p>
    <w:p>
      <w:r>
        <w:t>121. First, the determination of the prices offered to merchants depends on a multitude of factors that can reduce the degree of transparency. In particular, the price determinants may concern, in addition to the basic hardware and software, the number of terminals and accessories, but also the requested services (maintenance, hotline, etc.), and the investigation reveals a certain degree of deviation from the catalog prices based on the volume, number of clients, or turnover of each tobacco/newsagent.</w:t>
      </w:r>
    </w:p>
    <w:p>
      <w:r>
        <w:t>122. Furthermore, as mentioned previously, comprehensive cash register solutions intended for tobacco/newsagents are primarily marketed under rental contracts with financing for a duration of four years. The duration of the contracts is likely to limit the ability of the concerned companies to have sufficiently immediate knowledge of the behavior of others. However, this assumption should be qualified in light of various reports regarding practices of contract buyouts in this market, which consist of offering clients/prospects the possibility to terminate their contract early. Such practices, in addition to implying a certain transparency regarding the amount of rents charged by competitors, are likely to accelerate the detection process since the four-year duration would not be an uncompressible period. As previously mentioned, the market test, however, did not allow for determining the precise extent of this type of practice and, consequently, the degree of transparency in the market for comprehensive cash register solutions.</w:t>
      </w:r>
    </w:p>
    <w:p>
      <w:r>
        <w:t>123. Finally, there is uncertainty regarding the reaction capacity of the company Aleda, which, although it currently represents only [0-5]% of the market, has been firmly established in this market for several years, offers a comparable product to that of the concerned companies, and believes it is capable of addressing additional demand easily. It is also reported that it has already concluded distribution agreements with certain distributors of Devlyx.</w:t>
      </w:r>
    </w:p>
    <w:p>
      <w:r>
        <w:t>124. Ultimately, coordination between Logista/Strator on one hand and the new entity on the other, although unlikely, cannot be categorically excluded when considering the market for comprehensive cash register solutions in isolation. However, as detailed below, such coordination appears implausible given the close link between this market and that of the sale of dematerialized services and the fact that no risk of coordination can be identified in this second market.</w:t>
      </w:r>
    </w:p>
    <w:p>
      <w:r>
        <w:t>B. ON THE MARKET FOR INTERMEDIATION FOR THE SALE OF DEMATERIALIZED SERVICES</w:t>
      </w:r>
    </w:p>
    <w:p>
      <w:r>
        <w:t>1. ON THE CHARACTERISTICS OF THE MARKET</w:t>
      </w:r>
    </w:p>
    <w:p>
      <w:r>
        <w:t>a) Market Shares and Market Concentration Degree</w:t>
      </w:r>
    </w:p>
    <w:p>
      <w:r>
        <w:t>125. The notifying party indicated that it is unable to present the market shares in value of the various distributors of dematerialized services due to the lack of publicly available data on this subject. It therefore provided an estimate of the market shares of Bimedia, Ingenico, and their competitors in terms of the number of equipped points of sale that market dematerialized services to tobacco/newsagents.</w:t>
      </w:r>
    </w:p>
    <w:p>
      <w:r>
        <w:t>126. It indeed appears that not all points of sale equipped with a comprehensive cash register solution activate the dematerialized services related to this solution. However, the activation rate of these services appears to be generally high concerning tobacco/newsagents. Under these conditions, the market shares expressed in terms of the number of equipped points of sale with a comprehensive cash register solution constitute a relevant indicator to measure the respective positions of suppliers of comprehensive cash register solutions in the market for intermediation for the sale of dematerialized services.</w:t>
      </w:r>
    </w:p>
    <w:p>
      <w:r>
        <w:t>127. Furthermore, [confidential], it can reasonably be considered that the current stock of businesses equipped with Devlyx comprehensive cash register solutions provides a useful proxy and a conservative approach to the market share in volume of Devlyx as an intermediary for the sale of dematerialized services.</w:t>
      </w:r>
    </w:p>
    <w:p>
      <w:r>
        <w:t>128. For the purposes of analyzing the market for intermediation for the sale of dematerialized services through cash register solutions, it is therefore relevant to adopt a conservative approach that attributes to the parties a market share corresponding to their market share in the provision of comprehensive cash register solutions, namely [40-50]% as detailed above in point 94.</w:t>
      </w:r>
    </w:p>
    <w:p>
      <w:r>
        <w:t>b) The Link Between the Market for Intermediation for the Sale of Dematerialized Services and the Market for the Provision of Comprehensive Cash Register Solutions</w:t>
      </w:r>
    </w:p>
    <w:p>
      <w:r>
        <w:t>129. As outlined above in points 61 to 63, the market for comprehensive cash register solutions intended for tobacco/newsagents, on one hand, and the market for intermediation for the sale of dematerialized services, on the other hand, present a close link due to the fact that tobacco/newsagents are among the main distribution channels for these services (which currently represent a key development axis for their business) and that the vast majority of them market them through their comprehensive cash register solution.</w:t>
      </w:r>
    </w:p>
    <w:p>
      <w:r>
        <w:t>130. This link is also evident at the level of supply. Thus, the investigation revealed the existence of "bundled" promotional offers allowing merchants to obtain favorable pricing conditions for dematerialized services upon purchasing their comprehensive cash register solution. Furthermore, it emerges from the investigation that suppliers of comprehensive cash register solutions take into account the revenues generated from their intermediation activity for the sale of dematerialized services in their commercial strategy for the provision of comprehensive cash register solutions. A supplier of comprehensive cash register solutions emphasized in its response to the market test that "the construction of the business model relies on the sale of a terminal with an associated flow of transactions. The terminal sold alone remains, due to its cost and maintenance, an unprofitable activity." Beyond that, the analysis of the margins achieved respectively on the two activities and the proportion that each represents in the turnover of suppliers of comprehensive cash register solutions reflects the fact that the activity related to intermediation for the sale of dematerialized services represents the core profit for them.</w:t>
      </w:r>
    </w:p>
    <w:p>
      <w:r>
        <w:t>131. The link between the two markets thus appears as a central element in the determination by suppliers of their commercial strategies, which should be taken into account in the competitive analysis of these markets.</w:t>
      </w:r>
    </w:p>
    <w:p>
      <w:r>
        <w:t>2. ON THE RISKS OF NON-COORDINATED EFFECTS</w:t>
      </w:r>
    </w:p>
    <w:p>
      <w:r>
        <w:t>a) On the Risks of Reduction of Supply and Locking Access to the Market for Suppliers of Dematerialized Services</w:t>
      </w:r>
    </w:p>
    <w:p>
      <w:r>
        <w:t>132. Given the position of the parties in the market, the operation could entail a risk of reducing the variety of the supply of dematerialized services or locking access to the market for comprehensive cash register solutions for certain suppliers of dematerialized services, particularly those for whom comprehensive cash register solutions intended for tobacco/newsagents represent an essential outlet. Such concerns have been expressed by respondents to the market test.</w:t>
      </w:r>
    </w:p>
    <w:p>
      <w:r>
        <w:t>133. However, the realization of this type of risk appears unlikely given, on one hand, the interest of all operators (tobacco/newsagents as well as suppliers of comprehensive cash register solutions) in having the most varied and comprehensive range of dematerialized services possible, and on the other hand, the very limited cost of integrating a dematerialized service for suppliers of comprehensive cash register solutions compared to the revenue that could be generated. Furthermore, as outlined below, there is no risk that the new entity negotiates a level of commission or discount with suppliers of dematerialized services that could lead to their exclusion.</w:t>
      </w:r>
    </w:p>
    <w:p>
      <w:r>
        <w:t>134. The suppliers of comprehensive cash register solutions intended for tobacco/newsagents questioned during the investigation agree on the necessity of having a sufficiently deep and comprehensive offer of dematerialized services in line with the variety of profiles of tobacco/newsagents and their clientele. Indeed, tobacco/newsagents have access to an identical catalog offering all services and can then choose what they wish to offer to their own clients based on their needs. The elements collected during the investigation corroborate the assertion that the breadth and depth of the range of dematerialized services are a selling point used by suppliers of comprehensive cash register solutions with tobacco/newsagents.</w:t>
      </w:r>
    </w:p>
    <w:p>
      <w:r>
        <w:t>135. The investigation also revealed that all suppliers of comprehensive cash register solutions present a relatively homogeneous offer of dematerialized services that revolves around four main categories of services (financial/payment, telephony, gift cards, and online games and betting) and may be supplemented by a few additional services (such as, for example, certain administrative services or services for paying energy bills).</w:t>
      </w:r>
    </w:p>
    <w:p>
      <w:r>
        <w:t>136. While there are some exclusive relationships, these remain exceptional and are limited-duration launch exclusivities. Suppliers of comprehensive cash register solutions indicate having no or only rare exclusivities, and one of them believes that in any case such exclusivities, if they exist, could not pertain to the services that are the main revenue generators.</w:t>
      </w:r>
    </w:p>
    <w:p>
      <w:r>
        <w:rPr>
          <w:b/>
        </w:rPr>
        <w:t>[Pages 28–30]</w:t>
      </w:r>
    </w:p>
    <w:p>
      <w:r>
        <w:t>137. As explained by one of the suppliers of comprehensive cash register solutions for tobacco/newsagents, "We have no interest in establishing exclusive relationships with certain providers of dematerialized services, as the dynamics of the offers rely on total distribution across the entire network of tobacconists. We advocate for universal offers distributed within the network [...]".</w:t>
      </w:r>
    </w:p>
    <w:p>
      <w:r>
        <w:t>138. Suppliers of comprehensive cash register solutions are thus encouraged to expand their offering of dematerialized services, and there is no real obstacle to such an expansion from their perspective (their only real constraint being related to the technical integration of the service into their comprehensive cash register solution).</w:t>
      </w:r>
    </w:p>
    <w:p>
      <w:r>
        <w:t>139. The operation therefore does not carry a risk of reducing the variety of the offering of dematerialized services or locking access to the market for comprehensive cash register solutions for providers of dematerialized services.</w:t>
      </w:r>
    </w:p>
    <w:p>
      <w:r>
        <w:t>b) On the Risks Related to the Level of Discounts and Commissions for Dematerialized Services</w:t>
      </w:r>
    </w:p>
    <w:p>
      <w:r>
        <w:t>140. The price of dematerialized services offered to consumers, clients of tobacco/newsagents, through comprehensive cash register solutions is set by the service provider, without the intermediary being able to influence it. Its remuneration for the intermediation activity results from the discounts or commissions it receives from the provider of the dematerialized service, minus the discounts or commissions it grants to tobacco/newsagents.</w:t>
      </w:r>
    </w:p>
    <w:p>
      <w:r>
        <w:t>141. Regarding the discounts or commissions intended for tobacco/newsagents, their rates are not negotiated individually. Dematerialized services are generally offered to them as part of a single offer and based on standardized financial conditions for all tobacco/newsagents clients.</w:t>
      </w:r>
    </w:p>
    <w:p>
      <w:r>
        <w:t>142. The new entity could be tempted to increase its margins related to its intermediation activity for dematerialized services following the operation. This would result in an increase in the amount of discounts and commissions it would negotiate with providers of dematerialized services or a decrease in the discounts or commissions paid to tobacco/newsagents.</w:t>
      </w:r>
    </w:p>
    <w:p>
      <w:r>
        <w:t>On the Risk Related to Changes in Pricing Conditions in Relations with Providers of Dematerialized Services</w:t>
      </w:r>
    </w:p>
    <w:p>
      <w:r>
        <w:t>143. Due to the strengthening of purchasing power resulting from the operation, the new entity could be tempted to negotiate commercial conditions to its advantage that could lead to the exclusion of certain providers of dematerialized services from the market. Such a risk was raised by respondents to the market test.</w:t>
      </w:r>
    </w:p>
    <w:p>
      <w:r>
        <w:t>144. Such risks can be ruled out in this case. Indeed, it emerges from the investigation that a number of providers of dematerialized services have significant revenue and financial capacity, far exceeding those of providers of comprehensive cash register solutions, allowing them to exert strong negotiating power over the latter. This is particularly the case for service providers in the telecommunications sector (for example, SFR or Bouygues Telecom), gaming operators providing prepaid cards (for example, Xbox, Playstation), or money transfer actors (such as Moneygram or Western Union).</w:t>
      </w:r>
    </w:p>
    <w:p>
      <w:r>
        <w:t>145. Furthermore, for the majority of providers of dematerialized services, comprehensive cash register solutions for tobacco/newsagents do not constitute the only sales channel for their services. These services can be offered through cash registers present in other local businesses, or specialized points of sale (for example, the agencies of telecommunications operators for telephony services), or even on online sales sites. They can also, to a lesser extent, as mentioned above, be marketed in tobacco/newsagents through other terminals than comprehensive cash register solutions. This is currently the case for Western Union services via the terminals of Française des jeux.</w:t>
      </w:r>
    </w:p>
    <w:p>
      <w:r>
        <w:t>146. Responses to the market test revealed that two common suppliers to the parties offering prepaid payment card services primarily use, or almost exclusively, the channel of comprehensive cash register solutions in tobacco/newsagents to market their services. Following the operation, these suppliers could find themselves in a position of economic dependence on the new entity. However, it emerges from the investigation that suppliers of this type of service actually have numerous possible alternative distribution channels such as the Internet and mobile applications (these channels are indeed used by some competing suppliers, notably PCS, Transcash, and Paysafecard). The situation of these two operators alone would not be likely to affect the structure or functioning of competition in the relevant markets.</w:t>
      </w:r>
    </w:p>
    <w:p>
      <w:r>
        <w:t>147. It follows from the above that the operation does not carry a risk of an increase in the discounts or commissions obtained by the new entity acting as an intermediary in its relations with providers of dematerialized services.</w:t>
      </w:r>
    </w:p>
    <w:p>
      <w:r>
        <w:t>On the Risk Related to Changes in Pricing Conditions in Relations with Tobacco/Newsagents</w:t>
      </w:r>
    </w:p>
    <w:p>
      <w:r>
        <w:t>148. The other risk that the operation could entail, which was raised by some respondents to the market test, concerns the possibility for the new entity to decrease the revenues that tobacco/newsagents can derive from the marketing of dematerialized services. This would result in a decrease in the discounts or commissions that are paid to them by the new entity. This is a conceivable risk since the new entity will presumably not be able, as explained above in points 107 to 108, to increase the price of its comprehensive cash register solutions, and that the intermediation activity for the sale of dematerialized services represents the preferred source of profit.</w:t>
      </w:r>
    </w:p>
    <w:p>
      <w:r>
        <w:t>149. However, this risk remains limited. Indeed, in recent years, dematerialized services have become an important element for the commercial development of tobacco/newsagents. Providers of comprehensive cash register solutions take into account that the revenues derived from dematerialized services are considered by tobacco/newsagents when choosing their comprehensive cash register solution, and they use it as a commercial argument with their clients.</w:t>
      </w:r>
    </w:p>
    <w:p>
      <w:r>
        <w:t>150. For providers of cash register solutions, the revenues that tobacco/newsagents can derive from the sale of dematerialized services thus constitute a disciplining factor. One of these providers emphasizes, in its response to the market test, that the rates of discounts (or commissions) granted to tobacco/newsagents "must not be too low as they constitute an important competitive lever to differentiate us from other operators distributing dematerialized prepaid products."</w:t>
      </w:r>
    </w:p>
    <w:p>
      <w:r>
        <w:t>151. Furthermore, the notifying party mentions the competition from providers of other types of terminals (particularly card payment terminals) that may integrate dematerialized services, and another respondent specifies in this regard that "some merchants offer dematerialized offers via a point of sale terminal providing a catalog of services. This approach often relies on the terminal being free, allowing payment on remote point of sale terminals and thus providing remuneration conditions for tobacconists that are superior to those of cash register providers for dematerialized products." As mentioned earlier, this type of terminal currently represents only a small proportion of the outlets for certain providers of dematerialized services wishing to distribute their products within the tobacco/newsagents network. However, it is not excluded that providers of this type of terminal could expand their offering in the short or medium term and thus constitute potential competition that could constrain the new entity.</w:t>
      </w:r>
    </w:p>
    <w:p>
      <w:r>
        <w:t>152. Under these conditions, the new entity will therefore not be incentivized to reduce the amount of discounts or commissions paid to tobacco/newsagents.</w:t>
      </w:r>
    </w:p>
    <w:p>
      <w:r>
        <w:t>3. ON THE RISKS OF COORDINATED EFFECTS</w:t>
      </w:r>
    </w:p>
    <w:p>
      <w:r>
        <w:t>153. As previously stated, demonstrating the existence of a risk of coordinated effects implies that members of an oligopoly are "able to know sufficiently precisely and immediately the evolution of the behavior of others, that there are credible threats of retaliation in case of deviation from the course of action implicitly approved by all, and that the predictable reactions of consumers and current or potential competitors of the oligopoly are not sufficient to undermine the expected results of tacit collusion."</w:t>
      </w:r>
    </w:p>
    <w:p>
      <w:r>
        <w:t>154. However, several characteristics of the market for intermediation for the sale of dematerialized services through comprehensive cash register solutions contribute to a certain opacity of the offerings from different suppliers of comprehensive cash register solutions. First, the offering of dematerialized services is characterized by its variety and scalability. Thus, the number of partnerships of suppliers of comprehensive cash register solutions with providers of dematerialized services currently varies from 14 to 47 depending on the suppliers, and their offering is regularly evolving to incorporate new services reflecting the trend of tobacco/newsagents towards diversifying their activities.</w:t>
      </w:r>
    </w:p>
    <w:p>
      <w:r>
        <w:t>155. Next, there is a variety among the different categories of dematerialized services concerning the remuneration modalities for both suppliers and tobacco/newsagents. In particular, a distinction can be made between so-called "commissioned" services and so-called "margin" services. The remuneration modalities for the same category of services can also differ among suppliers of comprehensive cash register solutions.</w:t>
      </w:r>
    </w:p>
    <w:p>
      <w:r>
        <w:t>156. Finally, the intermediation activity for dematerialized services is not necessarily managed by the same entities depending on the dematerialized services concerned. Thus, regarding...</w:t>
      </w:r>
    </w:p>
    <w:p>
      <w:r>
        <w:rPr>
          <w:b/>
        </w:rPr>
        <w:t>[Pages 31–32]</w:t>
      </w:r>
    </w:p>
    <w:p>
      <w:r>
        <w:t>the offer from Bimédia, a distinction is made between the telephony services managed by its subsidiary SRD and the money transfer and dematerialized payment services managed by its subsidiary SRD MP.</w:t>
      </w:r>
    </w:p>
    <w:p>
      <w:r>
        <w:t>157. As mentioned previously, the investigation also revealed the existence of promotional offers on the margin rates and commissions of dematerialized services and discounts related to transaction volumes from certain providers of comprehensive cash register solutions, which may increase the opacity of the market.</w:t>
      </w:r>
    </w:p>
    <w:p>
      <w:r>
        <w:t>158. The opacity and dynamism of the market for the intermediation of dematerialized services are not conducive to a coordination of behaviors among the members of the quasi-duopoly that will result from the operation.</w:t>
      </w:r>
    </w:p>
    <w:p>
      <w:r>
        <w:t>159. It follows from the above that the operation is not likely to lead to coordinated effects.</w:t>
      </w:r>
    </w:p>
    <w:p>
      <w:r>
        <w:t>DECISION</w:t>
      </w:r>
    </w:p>
    <w:p>
      <w:r>
        <w:t>Sole Article: The operation notified under number 21-182 is authorized.</w:t>
      </w:r>
    </w:p>
    <w:p>
      <w:r>
        <w:t>The President,</w:t>
      </w:r>
    </w:p>
    <w:p>
      <w: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