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https://www.autoritedelaconcurrence.fr/fr/decision-de-controle-des-concentrations/relative-la-prise-de-controle-exclusif-de-la-societe-349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22-DCC-67 of April 25, 2022  </w:t>
        <w:br/>
        <w:t xml:space="preserve">regarding the exclusive control acquisition of the company Coriolis by the  </w:t>
        <w:br/>
        <w:t xml:space="preserve">Altice France group  </w:t>
        <w:br/>
        <w:t xml:space="preserve">The Competition Authority,  </w:t>
        <w:br/>
        <w:t xml:space="preserve">Having regard to the complete notification file sent to the mergers department on March 18, 2022,  </w:t>
        <w:br/>
        <w:t xml:space="preserve">concerning the exclusive control acquisition by the Altice France group of the company Coriolis,  </w:t>
        <w:br/>
        <w:t xml:space="preserve">formalized by the share purchase agreement dated September 17,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Altice France group of the  </w:t>
        <w:br/>
        <w:t xml:space="preserve">company Coriolis. The parties are active in the fixed and mobile telecommunications services markets,  </w:t>
        <w:br/>
        <w:t xml:space="preserve">as well as in the call center markets. It constitutes a concentration within the meaning of Article L. 430-1 of the  </w:t>
        <w:br/>
        <w:t xml:space="preserve">Commercial Code. Given the revenues generated by the companies concerned, the operation does not fall  </w:t>
        <w:br/>
        <w:t xml:space="preserve">under the jurisdiction of the European Union. However, the control thresholds mentioned in I of Article L. 430-2 of the  </w:t>
        <w:br/>
        <w:t xml:space="preserve">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21-287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