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https://www.autoritedelaconcurrence.fr/fr/decision-de-controle-des-concentrations/relative-la-prise-de-controle-exclusif-de-la-societe-350</w:t>
      </w:r>
    </w:p>
    <w:p>
      <w:r>
        <w:t>Pages translated : 2</w:t>
      </w:r>
    </w:p>
    <w:p/>
    <w:p>
      <w:r>
        <w:rPr>
          <w:b/>
        </w:rPr>
        <w:t>[Pages 1–2]</w:t>
      </w:r>
    </w:p>
    <w:p>
      <w:r>
        <w:t xml:space="preserve">FRENCH REPUBLIC  </w:t>
        <w:br/>
        <w:t xml:space="preserve">Decision No. 22-DCC-65 of April 22, 2022  </w:t>
        <w:br/>
        <w:t xml:space="preserve">regarding the exclusive control acquisition of The Surgical Company France Holding by Duomed France  </w:t>
        <w:br/>
        <w:t xml:space="preserve">The Competition Authority,  </w:t>
        <w:br/>
        <w:t xml:space="preserve">Having regard to the complete notification file submitted to the mergers department on April 6, 2022, concerning the exclusive control acquisition of The Surgical Company France Holding by Duomed France, formalized by a share transfer promise dated March 14,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Surgical Company France Holding and its subsidiaries by Duomed France, both active in the sector of supplying medical equipment to professionals.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22-073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