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https://www.autoritedelaconcurrence.fr/fr/decision-de-controle-des-concentrations/relative-la-prise-de-controle-exclusif-de-la-societe-351</w:t>
      </w:r>
    </w:p>
    <w:p>
      <w:r>
        <w:t>Pages translated : 2</w:t>
      </w:r>
    </w:p>
    <w:p/>
    <w:p>
      <w:r>
        <w:rPr>
          <w:b/>
        </w:rPr>
        <w:t>[Pages 1–2]</w:t>
      </w:r>
    </w:p>
    <w:p>
      <w:r>
        <w:t xml:space="preserve">French Republic  </w:t>
        <w:br/>
        <w:t xml:space="preserve">Decision No. 11-DEX-02 of July 4, 2011  </w:t>
        <w:br/>
        <w:t>regarding the exclusive control acquisition of the company Quartier Français Spiritueux by the COFEPP group</w:t>
      </w:r>
    </w:p>
    <w:p>
      <w:r>
        <w:t>The Competition Authority,</w:t>
      </w:r>
    </w:p>
    <w:p>
      <w:r>
        <w:t xml:space="preserve">Having regard to the notification file sent to the mergers department on March 17, 2011, and declared complete on April 14, 2011, concerning the exclusive control acquisition of the company Quartier Français Spiritueux by the COFEPP group, formalized by a share transfer and acquisition contract dated February 15, 2011;  </w:t>
        <w:br/>
        <w:t xml:space="preserve">Having regard to Book IV of the Commercial Code relating to the freedom of prices and competition, and in particular its Articles L. 430-1 to L. 430-7;  </w:t>
        <w:br/>
        <w:t xml:space="preserve">Having regard to the commitments presented on June 9 and 21, 2011, by the notifying party;  </w:t>
        <w:br/>
        <w:t>Having regard to the additional elements transmitted by the notifying party during the investigation;</w:t>
      </w:r>
    </w:p>
    <w:p>
      <w:r>
        <w:t>Adopts the following decision:</w:t>
      </w:r>
    </w:p>
    <w:p>
      <w:r>
        <w:t>1. The Compagnie Financière Européenne de Prise de Participation (hereinafter "COFEPP") is a family holding company that controls various production and distribution companies of spirits, wines, syrups, and fruit juices. The main subsidiaries of COFEPP are Martiniquaise SVS and Bardinet. Martiniquaise is a supplier of spirits under manufacturers' brands ("MDF", namely Label 5, Poliakov, Cruz, Glen Turner, Gibson, and Saint James among others) and also supplies the large retail sector with spirits to be resold under private label ("MDD") and low-cost brands ("MPP"). Bardinet is the COFEPP subsidiary specialized in the production and distribution of rum.</w:t>
      </w:r>
    </w:p>
    <w:p>
      <w:r>
        <w:t>2. Quartier Français Spiritueux ("QFS") is a company active in the production and marketing of rum and various other alcoholic beverages, as well as in the production and marketing of non-alcoholic aperitif drinks. Through its subsidiary Fauconnier, QFS supplies the large retail sector with spirits under MDD and MPP, notably rum, whisky, vodka, gin, tequila, natural sweet wines, and liqueurs. The capital of QFS is currently wholly owned by the company Groupe Quartier Français, a 100% subsidiary of the Tereos cooperative union.</w:t>
      </w:r>
    </w:p>
    <w:p>
      <w:r>
        <w:t>3. By a share purchase and sale contract dated February 3, 2011, COFEPP committed to acquire 100% of the capital of QFS, as well as all of its subsidiaries and holdings. Insofar as it results in the exclusive control of QFS by COFEPP, the notified operation constitutes a concentration within the meaning of Article L. 430-1 of the Commercial Code.</w:t>
      </w:r>
    </w:p>
    <w:p>
      <w:r>
        <w:t>4. The companies concerned together achieve a total worldwide turnover of more than 150 million euros (COFEPP: [≥ 150 million] euros for the fiscal year ending December 31, 2009; QFS: [≥ 150 million] euros for the same fiscal year). Each of these companies has achieved, in France, a turnover exceeding 50 million euros (COFEPP: [≥ 50 million] euros for the fiscal year ending December 31, 2009; QFS: [≥ 50 million] euros for the same fiscal year).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r>
    </w:p>
    <w:p>
      <w:r>
        <w:t>5. The examination provided for in I of Article L. 430-5 of the Commercial Code that has been conducted raises serious doubts about the impact on competition. The operation indeed results in a significant overlap of the parties' activities in the supply of rum and leads to the elimination of COFEPP's main competitor. Furthermore, regarding the supply of blended whisky, gin, tequila, vodka, calvados, and non-alcoholic aperitifs under MDD and MPP, the market shares of the new entity would be particularly high, and the operation would eliminate the main alternative to COFEPP. The commitments submitted by the notifying party on June 9 and 21, 2011, do not alleviate the serious doubts regarding the anti-competitive effects of the operation.</w:t>
      </w:r>
    </w:p>
    <w:p>
      <w:r>
        <w:t>6. It is therefore necessary to initiate an in-depth examination, pursuant to III of Article L. 430-5 of the Commercial Code.</w:t>
      </w:r>
    </w:p>
    <w:p>
      <w:r>
        <w:t xml:space="preserve">DECIDES  </w:t>
        <w:br/>
        <w:t>Single Article: The operation notified under number 11-038 is subject to an in-depth examination under the conditions provided for in Article L. 430-6 of the Commercial Code.</w:t>
      </w:r>
    </w:p>
    <w:p>
      <w: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