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https://www.autoritedelaconcurrence.fr/fr/decision-de-controle-des-concentrations/relative-la-prise-de-controle-exclusif-de-la-societe-352</w:t>
      </w:r>
    </w:p>
    <w:p>
      <w:r>
        <w:t>Pages translated : 2</w:t>
      </w:r>
    </w:p>
    <w:p/>
    <w:p>
      <w:r>
        <w:rPr>
          <w:b/>
        </w:rPr>
        <w:t>[Pages 1–2]</w:t>
      </w:r>
    </w:p>
    <w:p>
      <w:r>
        <w:t xml:space="preserve">FRENCH REPUBLIC  </w:t>
        <w:br/>
        <w:t xml:space="preserve">Decision No. 13-DEX-01 of March 12, 2013  </w:t>
        <w:br/>
        <w:t>regarding the exclusive control acquisition of Monoprix by Casino Guichard-Perrarchon</w:t>
      </w:r>
    </w:p>
    <w:p>
      <w:r>
        <w:t>The Competition Authority,</w:t>
      </w:r>
    </w:p>
    <w:p>
      <w:r>
        <w:t xml:space="preserve">Having regard to the notification file sent to the mergers department on January 7, 2013, and declared complete on February 6, 2013, concerning the exclusive control acquisition of Monoprix SA by Casino Guichard-Perrarchon, formalized by a transactional protocol dated July 26, 2012;  </w:t>
        <w:br/>
        <w:t xml:space="preserve">Having regard to Book IV of the Commercial Code relating to the freedom of prices and competition, and in particular its Articles L. 430-1 to L. 430-7;  </w:t>
        <w:br/>
        <w:t>Having regard to the additional elements provided by the parties during the investigation;</w:t>
      </w:r>
    </w:p>
    <w:p>
      <w:r>
        <w:t xml:space="preserve">Adopts the following decision:  </w:t>
        <w:br/>
        <w:t xml:space="preserve">1. Casino Guichard-Perrarchon (hereinafter "Casino") is the company at the head of the Casino group. Casino is the fourth largest French retail operator primarily focused on food distribution. Casino manages a network of over 11,000 stores (hypermarkets, supermarkets, small convenience stores, discount stores) under the brands Géant Casino, Casino Supermarché, Franprix, Petit Casino, Spar, Vival, Casitalia, and Leader Price. Casino is also present in four other business sectors: non-food e-commerce (through the brand Cdiscount), real estate, banking activities, and restaurant activities.  </w:t>
        <w:br/>
        <w:t xml:space="preserve">2. Monoprix SA (hereinafter "Monoprix") is the company at the head of the Monoprix group. Monoprix is active in the retail distribution sector primarily focused on food. Monoprix is jointly owned by Casino and Galeries Lafayette, each of these two companies holding 50% of the capital of Monoprix. Monoprix operates more than 400 points of sale in France, under the brands Monoprix, Inno, Monop’, dailymonop, Monop’station, beautymonop, and Naturalia.  </w:t>
        <w:br/>
        <w:t xml:space="preserve">3. Under a transactional protocol dated July 26, 2012, Casino commits to acquire, and reciprocally, Galeries Lafayette commits to sell to Casino, all the shares held by Galeries Lafayette in Monoprix. Following the operation, Casino will hold 100% of the capital and voting rights of Monoprix.  </w:t>
        <w:br/>
        <w:t xml:space="preserve">4. As it results in the exclusive control of Monoprix by Casino, the notified operation constitutes a concentration within the meaning of Article L. 430-1 of the Commercial Code.  </w:t>
        <w:br/>
        <w:t xml:space="preserve">5. The companies concerned together achieve a total worldwide turnover of more than 150 million euros (Casino: 32,388 million euros for the fiscal year ending December 31, 2011; Monoprix: 3,859 million euros for the same fiscal year). Each of these companies has achieved, in France, a turnover exceeding 50 million euros (Casino: 16,775 million euros for the fiscal year ending December 31, 2009; Monoprix: 3,852 million euros for the same fiscal year). The notification thresholds of Article 1 paragraph 2 of Regulation (EC) 139/2004 are exceeded, but since each of the concerned companies generates more than two-thirds of its turnover in the European Union in France, the operation does not have a community dimension. This operation is therefore subject to the provisions of Articles L. 430-3 and following of the Commercial Code relating to economic concentration.  </w:t>
        <w:br/>
        <w:t xml:space="preserve">6. The examination provided for in I of Article L. 430-5 of the Commercial Code, which has been conducted, leaves serious doubts regarding the impact on competition. The operation indeed leads to a significant strengthening of the competitive position of the parties in several downstream markets of food retail. This strengthening is notably reflected in particularly high market shares in a large number of areas located in Paris, as well as in some provincial areas.  </w:t>
        <w:br/>
        <w:t>7. It is therefore necessary to initiate a thorough examination, in accordance with III of Article L. 430-5 of the Commercial Code.</w:t>
      </w:r>
    </w:p>
    <w:p>
      <w:r>
        <w:t xml:space="preserve">DECIDES  </w:t>
        <w:br/>
        <w:t>Sole Article: The operation notified under number 12-161 is subject to a thorough examination under the conditions provided for in Article L. 430-6 of the Commercial Code.</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