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https://www.autoritedelaconcurrence.fr/fr/decision-de-controle-des-concentrations/relative-la-prise-de-controle-exclusif-de-la-societe-353</w:t>
      </w:r>
    </w:p>
    <w:p>
      <w:r>
        <w:t>Pages translated : 4</w:t>
      </w:r>
    </w:p>
    <w:p/>
    <w:p>
      <w:r>
        <w:rPr>
          <w:b/>
        </w:rPr>
        <w:t>[Pages 1–3]</w:t>
      </w:r>
    </w:p>
    <w:p>
      <w:r>
        <w:t xml:space="preserve">FRENCH REPUBLIC  </w:t>
        <w:br/>
        <w:t xml:space="preserve">Decision No. 17-DEX-02 of September 11, 2017  </w:t>
        <w:br/>
        <w:t xml:space="preserve">regarding the exclusive control of Concept Multimédia SAS by Axel Springer Digital Classifieds France SAS  </w:t>
        <w:br/>
        <w:t xml:space="preserve">The Competition Authority,  </w:t>
        <w:br/>
        <w:t xml:space="preserve">Having regard to the notification file submitted to the concentrations service on July 24, 2017, declared complete on August 4, 2017, regarding the exclusive control by Axel Springer Digital Classifieds France SAS of Concept Multimédia SAS, formalized by the signing of a memorandum of understanding dated April 25, 2017, to which a draft share transfer agreement is annexed;  </w:t>
        <w:br/>
        <w:t xml:space="preserve">Having regard to Book IV of the Commercial Code relating to price freedom and competition, and in particular its Articles L. 430-1 to L. 430-7;  </w:t>
        <w:br/>
        <w:t xml:space="preserve">Having regard to the additional elements submitted by the parties during the investigation;  </w:t>
        <w:br/>
        <w:t xml:space="preserve">Having regard to the other documents in the file;  </w:t>
        <w:br/>
        <w:t xml:space="preserve">Adopts the following decision:  </w:t>
        <w:br/>
        <w:t xml:space="preserve">1. Axel Springer Digital Classifieds France SAS is owned by Axel Springer SE, a German company at the head of the Axel Springer group and controlled by Ms. Friede Springer. The Axel Springer group is notably active in France in the classified ads sector through the companies SeLoger (online real estate classifieds) and Car&amp;Boat Media (online automobile and boat classifieds). SeLoger operates the portals seloger.com and immostreet.com, as well as several other sites dedicated to certain types of real estate, such as luxury real estate (bellesdemeures.com, prestige.seloger.com), new real estate (selogerneuf.com), land and individual house construction (seloger.com/construire), offices and commercial premises (agorabiz.com and webimm.com), private rentals (louervite.fr) and vacation rentals (agites.com, amivac.com, vacances.seloger.com and vacances.com).  </w:t>
        <w:br/>
        <w:t xml:space="preserve">2. Axel Springer is also active in the press sector in France. It operates a portfolio of nine specialized magazines (notably Télé Magazine, Marmiton Magazine, Vie Pratique Santé) and holds 50% of the share capital of Éditions Mondadori Axel Springer, which publishes automotive magazine titles (notably Auto Plus and Sport Auto).  </w:t>
        <w:br/>
        <w:t xml:space="preserve">3. Finally, Axel Springer is active in communication services and intermediation services in the online advertising sector.  </w:t>
        <w:br/>
        <w:t xml:space="preserve">4. Concept Multimédia SAS (hereinafter "Concept Multimédia") is a French law company wholly owned by Spir Communication. It is primarily active in the sectors of real estate classifieds, online and in the press, and IT services for real estate professionals.  </w:t>
        <w:br/>
        <w:t xml:space="preserve">5. In the online real estate classifieds sector, Concept Multimédia operates the portal logic-immo.com, as well as several sites dedicated to certain types of real estate, such as luxury real estate (lux-residence.com), new real estate (neuf.logic-immo.com), land and individual house construction (construire.logic-immo.com) and seasonal rentals (vacances.logicimmo.com).  </w:t>
        <w:br/>
        <w:t xml:space="preserve">6. In the press sector for real estate classifieds, Concept Multimédia publishes the magazines Logic-Immo, a free bi-monthly, and Lux Résidence, a paid magazine dedicated to luxury real estate.  </w:t>
        <w:br/>
        <w:t xml:space="preserve">7. The operation was formalized by the signing of a memorandum of understanding dated April 25, 2017, to which a draft share transfer agreement was annexed. Insofar as it consists of Axel Springer acquiring 100% of the capital of Concept Multimédia, the operation results in the exclusive control of Concept Multimédia by Axel Springer.  </w:t>
        <w:br/>
        <w:t xml:space="preserve">8. The companies concerned together achieve a total worldwide turnover of more than 150 million euros (Axel Springer: […] euros for the fiscal year ending December 31, 2016; Concept Multimédia: […] euros for the same fiscal year). Each of these companies has achieved, in France, a turnover exceeding 50 million euros (Axel Springer: […] euros for the fiscal year ending December 31, 2016; Concept Multimédia: […] euros for the same fiscal year).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9. The Authority, at the end of the examination provided for in I of Article L. 430-5 of the Commercial Code, considers that there remains a serious doubt regarding harm to competition, particularly related to horizontal effects on the online real estate classifieds market.  </w:t>
        <w:br/>
        <w:t xml:space="preserve">10. Insofar as it leads to the merger of two of the main operators in the online real estate classifieds market, the operation will have the effect of creating or strengthening the leading player.  </w:t>
        <w:br/>
        <w:t xml:space="preserve">11. The notifying party, however, believes that the new entity will only have a limited market share both in volume and value in the overall online real estate classifieds market. Furthermore, it claims that any risk of price increases, particularly towards advertisers (mainly real estate agencies), can be ruled out, particularly given the current and potential competition. Finally, it emphasizes the importance of "multi-listing" in this market, which leads advertisers and internet users to use several real estate classifieds websites for the dissemination of their ads or their search for properties. This "multi-listing" would be likely to limit the risk of price increases.  </w:t>
        <w:br/>
        <w:t xml:space="preserve">12. The Authority does not exclude, however, that in value (turnover), the new entity could become the leading operator in the online real estate classifieds market, with a market share that could be higher than [40-50]% in the segment of professional real estate classifieds.  </w:t>
        <w:br/>
        <w:t xml:space="preserve">13. The new entity would face only one significant competitor in this market, Le Bon Coin, which would hold an estimated market share by value of 25%. The operation would therefore have the effect of further concentrating the market for online professional real estate classifieds, as the two leading operators would alone represent approximately [70-80]% of the market by value. The investigation, which relies notably on the market test conducted for the purposes of the operation, questions the ability of other operators to discipline the new entity and/or its main competitor.  </w:t>
        <w:br/>
        <w:t xml:space="preserve">14. At the local level, the new entity would hold a market share in volume exceeding 30% in seven regions, particularly in Île-de-France, but the investigation does not rule out that it may have higher market shares in value there, particularly when Le Bon Coin's positions are weaker.  </w:t>
        <w:br/>
        <w:t xml:space="preserve">15. The analysis of the market power of the new entity did not rule out risks of harm to competition. These risks particularly emerge from the market test, with almost all respondents considering that the operation is likely to significantly reduce competition in the online real estate classifieds market in France.  </w:t>
        <w:br/>
        <w:t xml:space="preserve">16. The majority of respondents indeed believe that following the operation, the new entity would be able to increase its prices, as SeLoger is already considered "essential" and price increases are already frequent.  </w:t>
        <w:br/>
        <w:t xml:space="preserve">17. Moreover, since the budget of advertisers is generally constrained, particularly for independent real estate agencies (which constitute the vast majority of advertisers), price increases from the new entity's offerings could result in a reduction of the budget available for other market players, and thus their eviction.  </w:t>
        <w:br/>
        <w:t xml:space="preserve">18. Furthermore, the intention of the new entity to implement bundled offers between the parties' portals could also lead to anti-competitive effects. This bundling policy could affect competition by ultimately leading to the eviction of many competitors and the strengthening of the new entity's position.  </w:t>
        <w:br/>
        <w:t xml:space="preserve">19. There is therefore a need to initiate a thorough examination, pursuant to III of Article L. 430-5 of the Commercial Code.  </w:t>
        <w:br/>
        <w:t xml:space="preserve">1 The distinction between professional classifieds and private classifieds has already been considered in the automotive and naval sectors. The investigation confirmed the relevance of such segmentation applied to the real estate classifieds market.  </w:t>
        <w:br/>
        <w:t>2 Value data is not available. Market shares expressed in volume (number of ads or audience) underestimate the parties' market shares in value.</w:t>
      </w:r>
    </w:p>
    <w:p>
      <w:r>
        <w:rPr>
          <w:b/>
        </w:rPr>
        <w:t>[Pages 4–4]</w:t>
      </w:r>
    </w:p>
    <w:p>
      <w:r>
        <w:t xml:space="preserve">DECIDES  </w:t>
        <w:br/>
        <w:t xml:space="preserve">Article one: The operation notified under number 17-048 is subject to an in-depth examination under the conditions provided for in Article L. 430-6 of the Commercial Code.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