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https://www.autoritedelaconcurrence.fr/fr/decision-de-controle-des-concentrations/relative-la-prise-de-controle-exclusif-de-la-societe-354</w:t>
      </w:r>
    </w:p>
    <w:p>
      <w:r>
        <w:t>Pages translated : 4</w:t>
      </w:r>
    </w:p>
    <w:p/>
    <w:p>
      <w:r>
        <w:rPr>
          <w:b/>
        </w:rPr>
        <w:t>[Pages 1–3]</w:t>
      </w:r>
    </w:p>
    <w:p>
      <w:r>
        <w:t xml:space="preserve">FRENCH REPUBLIC  </w:t>
        <w:br/>
        <w:t xml:space="preserve">Decision No. 19-DEX-01 of October 10, 2019  </w:t>
        <w:br/>
        <w:t>regarding the exclusive control of the company Hexagone Santé Méditerranée and the SCI Bonnefon-Carnot by the Elsan group</w:t>
      </w:r>
    </w:p>
    <w:p>
      <w:r>
        <w:t xml:space="preserve">The Competition Authority,  </w:t>
        <w:br/>
        <w:t xml:space="preserve">Having regard to the notification file submitted in full to the concentrations service on July 24, 2019, regarding the exclusive control of the company Hexagone Santé Méditerranée and the SCI Bonnefon-Carnot by Elsan, formalized by a transfer agreement dated July 3, 2019;  </w:t>
        <w:br/>
        <w:t xml:space="preserve">Having regard to Book IV of the Commercial Code relating to the freedom of prices and competition, and in particular its Articles L. 430-1 to L. 430-7;  </w:t>
        <w:br/>
        <w:t xml:space="preserve">Having regard to the commitments presented on August 19, 2019, and September 24, 2019, by the notifying party;  </w:t>
        <w:br/>
        <w:t xml:space="preserve">Having regard to the additional elements transmitted by the notifying party during the investigation;  </w:t>
        <w:br/>
        <w:t xml:space="preserve">Having regard to the other documents in the file;  </w:t>
        <w:br/>
        <w:t>Adopts the following decision:</w:t>
      </w:r>
    </w:p>
    <w:p>
      <w:r>
        <w:t>1. Elsan Holding SAS (hereinafter, "Elsan"), a company under French law, is the parent company of the Elsan group. Since 2014, it has been exclusively controlled by CVC Capital Partners SICAV FIS SA (hereinafter, "CVC"), the management company of the CVC group, which is not subject to any control, within the meaning of competition law. The CVC group holds numerous companies active in various sectors in Europe, the United States, and the Asia-Pacific region. Elsan operates 120 healthcare establishments located in France, which primarily offer services in medicine, surgery, and obstetrics, follow-up and rehabilitation care, as well as, to a lesser extent, psychiatric care, home hospitalization, and cosmetic surgery for comfort.</w:t>
      </w:r>
    </w:p>
    <w:p>
      <w:r>
        <w:t>2. Hexagone Santé Méditerranée SAS (hereinafter, "HSM"), a company under French law, is a group of three healthcare establishments located in the department of Gard: the Nouvelle Clinique Bonnefon (hereinafter, "Clinique Bonnefon") located in Alès, the Nouvelles Cliniques Nîmoises (formerly Nouvel Hôpital Privé les Franciscaines and hereinafter, "Hôpital Privé les Franciscaines") and the Polyclinique Grand Sud located in Nîmes. These establishments primarily offer services in medicine, surgery, and obstetrics and, more incidentally, services in cosmetic surgery for comfort. The SCI Bonnefon-Carnot owns the premises of the Clinique Bonnefon. Prior to the transaction, HSM and the SCI Bonnefon-Carnot are controlled by Hexagone Santé Participations and ultimately by Dr. André Attia.</w:t>
      </w:r>
    </w:p>
    <w:p>
      <w:r>
        <w:t>3. Pursuant to a transfer agreement dated July 3, 2019, the contemplated transaction consists of the acquisition by Elsan of 100% of the capital and voting rights of the company HSM and the SCI Bonnefon-Carnot.</w:t>
      </w:r>
    </w:p>
    <w:p>
      <w:r>
        <w:t>4. As it results in the exclusive control of the company HSM and the SCI Bonnefon-Carnot by Elsan, the notified transaction constitutes a concentration within the meaning of Article L. 430-1 of the Commercial Code.</w:t>
      </w:r>
    </w:p>
    <w:p>
      <w:r>
        <w:t>5. The companies concerned together achieve a total worldwide turnover excluding tax of more than 150 million euros (Elsan: [≥150 million] euros for the fiscal year ending December 31, 2018; targets: [≥50] million euros for the same fiscal year). Each of these companies has achieved a turnover in France exceeding 50 million euros (Elsan: [≥50 million] euros for the fiscal year ending December 31, 2018; targets: [≥50] million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6. The transaction consists of the merger of two operators active notably in the markets for the provision of diagnostics and hospital care in the department of Gard (30).</w:t>
      </w:r>
    </w:p>
    <w:p>
      <w:r>
        <w:t>7. The markets for the provision of diagnostics and hospital care are segmented by specialized activity groups (medicine, surgery, obstetrics (collectively "MCO"), neonatology, psychiatry, follow-up and rehabilitation care, long-term care, oncology, diagnostic activities, emergencies, and resuscitation). A narrower market segmentation has also been considered by grouping MCO activities and segmenting them by major categories of diagnostics (hereinafter, "CMD"). A sub-segmentation of each CMD based on the presence or absence of a surgical procedure has also been considered. Decision-making practice assesses the position of the parties and their competitors based on an indicator based on the number of stays made by patients in the concerned establishments. Finally, the Authority considers that the markets for the provision of diagnostics and hospital care can be of local, departmental, or regional dimensions.</w:t>
      </w:r>
    </w:p>
    <w:p>
      <w:r>
        <w:t>8. During the investigation, Elsan notably contested the relevance of an indicator based on the number of stays made. According to Elsan, an indicator based on the duration of stays is better suited to assess the actual positions of operators in the markets for the provision of diagnostics and hospital care. Furthermore, contrary to the interpretation given by decision-making practice in paragraph 366 of the Guidelines, Elsan believes that the geographical market of the target clinics should be determined, not by a real footprint, but according to an isochrone area based on the travel time of the first patient allowing access to 80% of the total number of stays. Finally, Elsan considers that the appropriate method for calculating market shares should be based on stays made by patients living in the area around the target clinics (the so-called "patients" method) and not on stays made by patients in the establishments in the area around the target clinics (the so-called "standard" method). However, following the examination provided for in I of Article L. 430-5 of the Commercial Code, the Authority considers that it does not have sufficient elements to exclusively retain the market definitions and methods for assessing the position of operators in the markets for the provision of diagnostics and hospital care put forward by Elsan.</w:t>
      </w:r>
    </w:p>
    <w:p>
      <w:r>
        <w:t>9. Decision-making practice considers that there is a risk of harm to competition in the markets for the provision of diagnostics and hospital care when the new entity holds a market share exceeding 50% in at least two CMDs, whether segmented based on the presence or absence of a surgical procedure.</w:t>
      </w:r>
    </w:p>
    <w:p>
      <w:r>
        <w:t>10. In application of the aforementioned decision-making practice, in this case, Elsan's market share after the operation would exceed 50% in the "Surgery GAS" and in several CMDs, whether segmented based on the presence or absence of a surgical procedure, in the department of Gard (30) and in each of the surrounding areas around the target clinics.</w:t>
      </w:r>
    </w:p>
    <w:p>
      <w:r>
        <w:t>11. Consequently, the Authority believes that the operation raises serious doubts about harm to competition in the markets for the provision of diagnostics and hospital care.</w:t>
      </w:r>
    </w:p>
    <w:p>
      <w:r>
        <w:t>12. Elsan submitted on August 19, 2019, a proposal for commitments consisting of the divestiture of the Clinique Bonnefon, located in Alès (30).</w:t>
      </w:r>
    </w:p>
    <w:p>
      <w:r>
        <w:t>13. However, this commitment is insufficient to eliminate all risks of harm to competition. Despite this commitment, in application of the aforementioned decision-making practice, the new entity would hold a market share exceeding 50% in more than one CMD as well as in the "Surgery GAS" in the area around the Polyclinique Grand Sud. The insufficiency of the commitment has also been highlighted by the majority of respondents to the market test.</w:t>
      </w:r>
    </w:p>
    <w:p>
      <w:r>
        <w:t>14. On September 24, 2019, Elsan submitted a new proposal for commitments consisting of the divestiture of the Clinique Bonnefon, accompanied by a transfer of stays from one or more clinics of the parties to the operation present in the area around the Polyclinique Grand Sud, to the Clinique Bonnefon, or, at Elsan's choice, to a competing establishment present in the area around the Polyclinique Grand Sud. However, the investigation and the market test conducted did not confirm the adequacy of this proposal for commitments concerning the identified competition issues, nor the sufficiently credible and verifiable nature of the commitments regarding the transfers of stays.</w:t>
      </w:r>
    </w:p>
    <w:p>
      <w:r>
        <w:t>15. In light of the above, it is particularly necessary to thoroughly examine the points raised by the notifying party relating to the definition of markets, the market share indicator, and the method for calculating market shares in the markets for the provision of diagnostics and hospital care.</w:t>
      </w:r>
    </w:p>
    <w:p>
      <w:r>
        <w:t>16. Given these elements and the insufficiency of the proposed commitments, it is therefore necessary to initiate a thorough examination, in application of III of Article L. 430-5 of the Commercial Code.</w:t>
      </w:r>
    </w:p>
    <w:p>
      <w:r>
        <w:rPr>
          <w:b/>
        </w:rPr>
        <w:t>[Pages 4–4]</w:t>
      </w:r>
    </w:p>
    <w:p>
      <w:r>
        <w:t xml:space="preserve">DECIDES  </w:t>
        <w:br/>
        <w:t xml:space="preserve">Single Article: The transaction notified under number 19-110 is subject to a thorough examination under the conditions provided for in Article L. 430-6 of the Commercial Code.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