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https://www.autoritedelaconcurrence.fr/fr/decision-de-controle-des-concentrations/relative-la-prise-de-controle-exclusif-de-la-societe-356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22-DCC-87 of May 19, 2022  </w:t>
        <w:br/>
        <w:t xml:space="preserve">regarding the exclusive control acquisition of Toshiba Carrier Corporation by Carrier Corporation  </w:t>
        <w:br/>
        <w:t xml:space="preserve">The Competition Authority,  </w:t>
        <w:br/>
        <w:t xml:space="preserve">Having regard to the complete notification file submitted to the mergers department on May 4, 2022, concerning the acquisition of control of Toshiba Carrier Corporation by Carrier Corporation, a subsidiary of the Carrier Global Corporation group, formalized by a Share Purchase Agreement dated February 7,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Toshiba Carrier Corporation by Carrier Corporation, a subsidiary of the Carrier Global Corporation group. Both companies are active in the heating, ventilation, air conditioning, and refrigeration systems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22-049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