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https://www.autoritedelaconcurrence.fr/fr/decision-de-controle-des-concentrations/relative-la-prise-de-controle-exclusif-de-la-societe-358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22-DCC-100 of June 8, 2022  </w:t>
        <w:br/>
        <w:t xml:space="preserve">regarding the exclusive control acquisition of the company Picardie Biomasse  </w:t>
        <w:br/>
        <w:t xml:space="preserve">Energie and the business assets AET Biomasse de Novillars  </w:t>
        <w:br/>
        <w:t xml:space="preserve">by the company Idex and the joint control acquisition of the companies  </w:t>
        <w:br/>
        <w:t xml:space="preserve">Kogeban and Cogénération Biomasse d’Estrée-Mons by the companies  </w:t>
        <w:br/>
        <w:t xml:space="preserve">Idex and Pearl  </w:t>
        <w:br/>
        <w:t xml:space="preserve">The Competition Authority,  </w:t>
        <w:br/>
        <w:t xml:space="preserve">Having regard to the complete notification file submitted to the mergers department on May 3, 2022, concerning  </w:t>
        <w:br/>
        <w:t xml:space="preserve">the exclusive control acquisition of the company Picardie Biomasse Energie and the business assets  </w:t>
        <w:br/>
        <w:t xml:space="preserve">AET Biomasse de Novillars by the company Idex and the joint control acquisition of the companies  </w:t>
        <w:br/>
        <w:t xml:space="preserve">Kogeban and Cogénération Biomasse d’Estrée-Mons by the companies Idex and Pearl, materialized  </w:t>
        <w:br/>
        <w:t xml:space="preserve">by a sale option signed on February 9, 2022;  </w:t>
        <w:br/>
        <w:t xml:space="preserve">Having regard to Book IV of the Commercial Code relating to price and competition freedom,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Picardie Biomasse  </w:t>
        <w:br/>
        <w:t xml:space="preserve">Energie and the business assets AET Biomasse de Novillars by the company Idex and the joint  </w:t>
        <w:br/>
        <w:t xml:space="preserve">control acquisition of the companies Kogeban and Cogénération Biomasse d’Estrée-Mons by the  </w:t>
        <w:br/>
        <w:t xml:space="preserve">companies Idex and Pearl. These companies are notably active in the sectors of electricity production  </w:t>
        <w:br/>
        <w:t xml:space="preserve">from biomass, in the production and supply of heat, and in waste treatment. As these operations are  </w:t>
        <w:br/>
        <w:t xml:space="preserve">interdependent, they are analyzed as a single operation and constitute a concentration operation  </w:t>
        <w:br/>
        <w:t xml:space="preserve">within the meaning of 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However, the control thresholds mentioned in point I of Article L. 430-2 of the Commercial Code  </w:t>
        <w:br/>
        <w:t xml:space="preserve">are exceeded. This operation is therefore subject to the provisions of Articles L. 430-3 and following  </w:t>
        <w:br/>
        <w:t xml:space="preserve">of the Commercial Code relating to economic concentration.  </w:t>
        <w:br/>
        <w:t xml:space="preserve">2. In light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Sole Article: The operation notified under number 22-050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