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https://www.autoritedelaconcurrence.fr/fr/decision-de-controle-des-concentrations/relative-la-prise-de-controle-exclusif-de-la-societe-359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22-DCC-103 of June 17, 2022  </w:t>
        <w:br/>
        <w:t xml:space="preserve">regarding the exclusive control acquisition of the company Partedis by the  </w:t>
        <w:br/>
        <w:t xml:space="preserve">company Bernard Innovation Belgium  </w:t>
        <w:br/>
        <w:t xml:space="preserve">The Competition Authority,  </w:t>
        <w:br/>
        <w:t xml:space="preserve">Having regard to the notification file submitted complete to the mergers department on June 1, 2022,  </w:t>
        <w:br/>
        <w:t xml:space="preserve">concerning the acquisition of control of the company Partedis by the company Bernard Innovation Belgium,  </w:t>
        <w:br/>
        <w:t xml:space="preserve">formalized by a purchase agreement dated April 30,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indirect acquisition by the company Bernard Innovation  </w:t>
        <w:br/>
        <w:t xml:space="preserve">Belgium of exclusive control of the company Partedis. Both companies are active in the  </w:t>
        <w:br/>
        <w:t xml:space="preserve">sector of the distribution of sanitary, heating, and air conditioning products. The operation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fall  </w:t>
        <w:br/>
        <w:t xml:space="preserve">under the jurisdiction of the European Union. On the other hand, the control thresholds mentioned  </w:t>
        <w:br/>
        <w:t xml:space="preserve">in 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22-103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