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11-DCC-144 of September 30, 2011  </w:t>
        <w:br/>
        <w:t xml:space="preserve">regarding the exclusive control acquisition of the company Primavista by  </w:t>
        <w:br/>
        <w:t xml:space="preserve">FCPR Activa Capital Fund II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9, 2011, concerning the acquisition of the company Primavista by FCPR Activa Capital  </w:t>
        <w:br/>
        <w:t xml:space="preserve">Fund II formalized by an agreement signed on September 7,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FCPR Activa Capital Fund  </w:t>
        <w:br/>
        <w:t xml:space="preserve">II of the Primavista group, which has developed an activity of taking photographs in maternity wards,  </w:t>
        <w:br/>
        <w:t xml:space="preserve">of school photography, of distributing birth kits, and of marketing a database of contacts of young mothers. It constitutes a concentration operation within the meaning of Article L. 430-1 of the Commercial Code. Given the turnover achieved by the companies concerned, the operation does not have a community dimension. On the other hand,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11-0148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