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https://www.autoritedelaconcurrence.fr/fr/decision-de-controle-des-concentrations/relative-la-prise-de-controle-exclusif-de-la-societe-360</w:t>
      </w:r>
    </w:p>
    <w:p>
      <w:r>
        <w:t>Pages translated : 20</w:t>
      </w:r>
    </w:p>
    <w:p/>
    <w:p>
      <w:r>
        <w:rPr>
          <w:b/>
        </w:rPr>
        <w:t>[Pages 1–3]</w:t>
      </w:r>
    </w:p>
    <w:p>
      <w:r>
        <w:t xml:space="preserve">FRENCH REPUBLIC  </w:t>
        <w:br/>
        <w:t xml:space="preserve">Decision No. 22-DCC-110 of June 24, 2022  </w:t>
        <w:br/>
        <w:t>regarding the exclusive control of the company Soufflet Alimentaire by the Avril group</w:t>
      </w:r>
    </w:p>
    <w:p>
      <w:r>
        <w:t xml:space="preserve">The Competition Authority,  </w:t>
        <w:br/>
        <w:t xml:space="preserve">Having regard to the notification file submitted in full to the merger service on May 24, 2022, regarding the exclusive control of the company Soufflet Alimentaire by the Avril group, formalized by a purchase promise dated April 14, 2022;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Summary1  </w:t>
        <w:br/>
        <w:t xml:space="preserve">By means of the decision below, the Authority examined the exclusive control of the company Soufflet Alimentaire by the Avril group.  </w:t>
        <w:br/>
        <w:t xml:space="preserve">The Avril group is an international agro-industrial operator active in the primary processing of oilseeds, consumer goods, specialty chemicals based on vegetable oils, and animal feed. In the consumer goods sector, Avril produces and markets consumer goods intended for human consumption such as oils, sauces, and eggs. It notably markets products under the brands Lesieur, Fruit d’or, and Matines.  </w:t>
        <w:br/>
        <w:t xml:space="preserve">Soufflet Alimentaire specializes in the processing and packaging of rice. It also markets legumes, other cereals (durum wheat semolina, bulgur, polenta, spelt), quinoa, ready-to-eat packaged meals, flours, and culinary aids. Soufflet Alimentaire's products are notably marketed under the brands Vivien Paille and Yorokobi.  </w:t>
        <w:br/>
        <w:t xml:space="preserve">Given the activities of the Avril group and the company Soufflet Alimentaire, the Authority examined the risk of conglomerate effects insofar as the operation will allow Avril, whose activity in the food consumer goods sector in France was limited to the markets for edible oils, cold sauces, and eggs, egg products, and processed products based on eggs, to expand its activities to the markets for rice, legumes, quinoa, other cereals, flours, ready-to-eat packaged meals, and culinary aids.  </w:t>
        <w:br/>
        <w:t xml:space="preserve">Nevertheless, the Authority excluded any risk of anti-competitive effects. Regarding sales to GMS, it notably considered that the new entity will have neither the incentive nor the ability to lock these markets by imposing tied sales given that it will still face the existence of powerful competing groups also possessing well-known brands, and the countervailing power of buyers. Regarding sales to RHF, the market shares of the parties, the existence of significant competing groups, and the countervailing power of buyers exclude any risk of conglomerate effects in these markets.  </w:t>
        <w:br/>
        <w:t xml:space="preserve">The Authority therefore authorized the operation unconditionally.  </w:t>
        <w:br/>
        <w:t>1 This summary is strictly informative. Only the reasons for the decision numbered below are authoritative.</w:t>
      </w:r>
    </w:p>
    <w:p>
      <w:r>
        <w:t>2</w:t>
      </w:r>
    </w:p>
    <w:p>
      <w:r>
        <w:t xml:space="preserve">TABLE OF CONTENTS  </w:t>
        <w:br/>
        <w:t xml:space="preserve">I. THE COMPANIES CONCERNED AND THE OPERATION .............. 5  </w:t>
        <w:br/>
        <w:t xml:space="preserve">II. DELIMITATION OF THE RELEVANT MARKETS ........................... 6  </w:t>
        <w:br/>
        <w:t xml:space="preserve">A. THE MARKETS FOR THE PRODUCTION AND MARKETING OF UNPACKAGED VEGETABLE OILS .................................................6  </w:t>
        <w:br/>
        <w:t xml:space="preserve">1. PRODUCT MARKETS .....................................................................................6  </w:t>
        <w:br/>
        <w:t xml:space="preserve">2. GEOGRAPHIC MARKETS ..............................................................................7  </w:t>
        <w:br/>
        <w:t xml:space="preserve">B. THE MARKETS FOR THE PRODUCTION AND MARKETING OF PACKAGED VEGETABLE OILS ...........................................................7  </w:t>
        <w:br/>
        <w:t xml:space="preserve">1. PRODUCT MARKETS .....................................................................................7  </w:t>
        <w:br/>
        <w:t xml:space="preserve">2. GEOGRAPHIC MARKETS ..............................................................................8  </w:t>
        <w:br/>
        <w:t xml:space="preserve">C. THE MARKETS FOR THE MANUFACTURE AND MARKETING OF COLD SAUCES ..................................................................................................8  </w:t>
        <w:br/>
        <w:t xml:space="preserve">1. PRODUCT MARKETS .....................................................................................8  </w:t>
        <w:br/>
        <w:t xml:space="preserve">2. GEOGRAPHIC MARKETS ..............................................................................9  </w:t>
        <w:br/>
        <w:t xml:space="preserve">D. THE MARKETS FOR THE PRODUCTION AND MARKETING OF SHELL EGGS, EGG PRODUCTS, AND DERIVED EGG PRODUCTS .............................................................................................................................9  </w:t>
        <w:br/>
        <w:t xml:space="preserve">1. PRODUCT MARKETS .....................................................................................9  </w:t>
        <w:br/>
        <w:t xml:space="preserve">2. GEOGRAPHIC MARKETS ............................................................................10  </w:t>
        <w:br/>
        <w:t xml:space="preserve">E. THE MARKETS FOR THE MARKETING OF LEGUMES ........10  </w:t>
        <w:br/>
        <w:t xml:space="preserve">1. PRODUCT MARKETS ...................................................................................10  </w:t>
        <w:br/>
        <w:t xml:space="preserve">2. GEOGRAPHIC MARKETS ............................................................................11  </w:t>
        <w:br/>
        <w:t xml:space="preserve">F. THE MARKETS FOR THE SUPPLY AND MARKETING OF RICE, QUINOA, AND OTHER CEREALS ..................................................12  </w:t>
        <w:br/>
        <w:t xml:space="preserve">1. PRODUCT MARKETS ...................................................................................12  </w:t>
        <w:br/>
        <w:t xml:space="preserve">2. GEOGRAPHIC MARKETS ............................................................................12  </w:t>
        <w:br/>
        <w:t xml:space="preserve">G. THE MARKETS FOR THE MANUFACTURE AND MARKETING OF READY-TO-EAT PACKAGED MEALS ..............................................................13  </w:t>
        <w:br/>
        <w:t xml:space="preserve">1. PRODUCT MARKETS ...................................................................................13  </w:t>
        <w:br/>
        <w:t xml:space="preserve">2. GEOGRAPHIC MARKETS ............................................................................13  </w:t>
        <w:br/>
        <w:t xml:space="preserve">H. THE MARKETS FOR THE MANUFACTURE AND MARKETING OF FLOURS ........................................................................................................13  </w:t>
        <w:br/>
        <w:t xml:space="preserve">1. PRODUCT MARKETS ...................................................................................13  </w:t>
        <w:br/>
        <w:t xml:space="preserve">2. GEOGRAPHIC MARKETS ............................................................................14  </w:t>
        <w:br/>
        <w:t xml:space="preserve">I. THE MARKETS FOR CULINARY AIDS ............................................................14  </w:t>
        <w:br/>
        <w:t xml:space="preserve">1. PRODUCT MARKETS ...................................................................................14  </w:t>
        <w:br/>
        <w:t>2. GEOGRAPHIC MARKETS ............................................................................15</w:t>
      </w:r>
    </w:p>
    <w:p>
      <w:r>
        <w:rPr>
          <w:b/>
        </w:rPr>
        <w:t>[Pages 4–6]</w:t>
      </w:r>
    </w:p>
    <w:p>
      <w:r>
        <w:t>III. COMPETITIVE ANALYSIS .................................................... 16</w:t>
      </w:r>
    </w:p>
    <w:p>
      <w:r>
        <w:t>I. The concerned companies and the operation</w:t>
        <w:br/>
        <w:t>1. Avril SCA is the parent company of the Avril group (hereinafter "Avril"). It is exclusively controlled by [confidential]. Avril is an international agro-industrial operator active in the primary processing of oilseeds2, consumer goods, specialty chemicals based on vegetable oils, and animal feed. Regarding consumer goods, Avril produces and markets consumer goods intended for human consumption, including (i) edible oils sold under private label (hereinafter "MDD") and under manufacturer brand (hereinafter "MDF"), namely Isio4, Lesieur, and Puget, (ii) cold sauces, (iii) eggs, (iv) egg products, and (v) processed products based on eggs. Avril is also active in the animal nutrition sector (via Sanders) and agricultural investments (via Sofiprotéol).</w:t>
        <w:br/>
        <w:t>2. Soufflet Alimentaire (hereinafter "Soufflet") is a simplified joint-stock company, whose share capital is currently indirectly held by the InVivo group through the company Établissement J. Soufflet [confidential]. Soufflet specializes in the processing and packaging of rice (notably through its subsidiary Soufflet Alimentaire Camargue), dried vegetables (notably through its subsidiary AS Lentilles), cereals, flours, and the manufacture and marketing of canned prepared meals.</w:t>
        <w:br/>
        <w:t>3. The operation is materialized by a purchase promise signed between Avril Industrie, a subsidiary of Avril, and the company Établissement J. Soufflet on April 14, 2022, [confidential]. Following the operation, the Avril group will hold [confidential] % of the capital of Soufflet and its holdings.</w:t>
        <w:br/>
        <w:t>4. As it results in the exclusive acquisition of control of Soufflet by Avril, the notified operation is a concentration within the meaning of Article L. 430-1 of the Commercial Code.</w:t>
        <w:br/>
        <w:t>5. The concerned companies together achieve a total worldwide turnover of more than 150 million euros (Avril: [≥ 150 million] euros for the fiscal year ending December 31, 2021; Soufflet Alimentaire: [≥ 150 million] euros for the fiscal year ending June 30, 2021). Each of these companies generates, in France, a turnover exceeding 50 million euros (Avril: [≥ 50 million] euros for the fiscal year ending December 31, 2021; Soufflet Alimentaire: [≥ 50 million] euros for the fiscal year ending June 30, 2021).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br/>
        <w:t>2 Avril also has a marginal activity of collecting oilseeds (rapeseed and sunflower), through its subsidiary Saipol, and cereals (wheat, triticale, rye, oats, and barley), through its subsidiaries Céréos and Proxiel.</w:t>
      </w:r>
    </w:p>
    <w:p>
      <w:r>
        <w:t>II. Delimitation of the relevant markets</w:t>
        <w:br/>
        <w:t>6. Avril is active in the markets for the production and marketing of unprocessed vegetable oils, processed vegetable oils, cold sauces, and eggs, egg products, and egg-derived products.</w:t>
        <w:br/>
        <w:t>7. Soufflet is active in the markets for legumes, rice, quinoa, and other cereals, canned prepared meals, flours, and culinary aids.</w:t>
        <w:br/>
        <w:t>8. Given their interconnectedness, these markets will be examined in the context of the analysis of the conglomerate effects of the operation.</w:t>
        <w:br/>
        <w:t>A. MARKETS FOR THE PRODUCTION AND MARKETING OF UNPROCESSED VEGETABLE OILS</w:t>
        <w:br/>
        <w:t>1. PRODUCT MARKETS</w:t>
        <w:br/>
        <w:t>9. Competition authorities have examined the vegetable oil production sector several times3. They have notably distinguished between the market for seed oils and the market for olive oil.</w:t>
        <w:br/>
        <w:t>10. Furthermore, the European Commission has left open the question of whether, on the one hand, crude oils and refined oils constitute two distinct markets and, on the other hand, whether it is necessary to distinguish oils based on the type of seeds from which they are produced4.</w:t>
        <w:br/>
        <w:t>11. Regarding this latter question, the parties believe that there is significant substitutability between oils from different types of seeds from both the supply and demand perspectives.</w:t>
        <w:br/>
        <w:t>12. In any case, insofar as regardless of the delimitation adopted, the conclusions of the competitive analysis remain unchanged, the question of the exact delimitation of these markets can be left open.</w:t>
        <w:br/>
        <w:t>13. In this case, only Avril is present in the markets for crude and refined rapeseed and sunflower oils.</w:t>
        <w:br/>
        <w:t>3 See notably the letters from the Minister of Economy C2007-79 of July 26, 2007, to the councils of the company Sofiprotéol, regarding a concentration in the sector of the production and marketing of animal feed, animal health, and animal production, and C2008-80 of August 28, 2008, to the councils of the company Lesieur, regarding a concentration in the sector of the manufacture and marketing of cold sauces, the decisions of the Authority No. 10-DCC-35 of April 21, 2010, regarding the acquisition of control of the company Saipol by the Sofiproteol group, and No. 14-DCC-27 of February 26, 2014, regarding the exclusive acquisition of control of the company Novial by the cooperative group Noriap, and the decisions of the European Commission COMP / M.3039 Soprol / Cereol / Lesieur of January 30, 2003, COMP / M.3876 Diester Industrie / Bunge / JV of September 30, 2005, COMP / M.7625 ADM / AOR of September 7, 2015, COMP / M.8086 – Bunge / Walter Rau Neusser Öl Und Fett, COMP of September 20, 2016, COMP / M.8199 – Bunge / European Oilseed Processing Facilities of February 6, 2017, and COMP / M.9495 – Fortenova Grupa / Poslovni Sistemi Mercator of September 21, 2020.</w:t>
        <w:br/>
        <w:t>4 See the letter from the Minister of Economy C2007-79 and the decisions No. 10-DCC-35, COMP / M.3039, and COMP / M.3876 mentioned above.</w:t>
      </w:r>
    </w:p>
    <w:p>
      <w:r>
        <w:rPr>
          <w:b/>
        </w:rPr>
        <w:t>[Pages 7–9]</w:t>
      </w:r>
    </w:p>
    <w:p>
      <w:r>
        <w:t>2. THE GEOGRAPHIC MARKETS</w:t>
      </w:r>
    </w:p>
    <w:p>
      <w:r>
        <w:t>14. Competition authorities, while leaving the question of precise delimitation open, have analyzed the markets for the production and sale of unbranded vegetable oils at the European and national levels5.</w:t>
      </w:r>
    </w:p>
    <w:p>
      <w:r>
        <w:t>15. In this case, the question of the exact delimitation of these markets can also be left open, insofar as the conclusions of the competitive analysis remain unchanged regardless of the segmentations adopted.</w:t>
      </w:r>
    </w:p>
    <w:p>
      <w:r>
        <w:t>16. The analysis will be conducted at the European and French levels.</w:t>
      </w:r>
    </w:p>
    <w:p>
      <w:r>
        <w:t>B. THE MARKETS FOR THE PRODUCTION AND MARKETING OF PACKAGED VEGETABLE OILS</w:t>
      </w:r>
    </w:p>
    <w:p>
      <w:r>
        <w:t>1. PRODUCT MARKETS</w:t>
      </w:r>
    </w:p>
    <w:p>
      <w:r>
        <w:t>17. Decision-making practice has recognized the existence of a market for the production and marketing of packaged vegetable oils, within which a distinction is made, on the one hand, for packaged olive oil and, on the other hand, for packaged seed oils6.</w:t>
      </w:r>
    </w:p>
    <w:p>
      <w:r>
        <w:t>18. Within the markets for packaged seed oils, the practice held that segmentation by type of seed was not relevant. However, the European Commission has recently considered segmentation by use (frying, cooking, vinaigrette, etc.) and by type of seed7.</w:t>
      </w:r>
    </w:p>
    <w:p>
      <w:r>
        <w:t>19. The practice also distinguishes according to the distribution channel, namely the agri-food industry (hereinafter, "IAA"), large and medium-sized retailers (hereinafter, "GMS"), and the out-of-home catering sector (hereinafter, "RHF"). The decision-making practice has questioned, while leaving the question open, a possible segmentation within the GMS distribution channel, between oils marketed under MDD and under MDF8.</w:t>
      </w:r>
    </w:p>
    <w:p>
      <w:r>
        <w:t>20. The parties believe that, given the similar characteristics of oils marketed under MDD and under MDF, the low consumer attachment to brands, and the significant penetration rate of oils marketed under MDD, the relevant market includes both oils marketed under MDD and under MDF, for both seed oils and olive oils.</w:t>
      </w:r>
    </w:p>
    <w:p>
      <w:r>
        <w:t>21. However, insofar as regardless of the delimitation adopted, the conclusions of the competitive analysis remain unchanged, the question of the exact delimitation of the market can be left open.</w:t>
      </w:r>
    </w:p>
    <w:p>
      <w:r>
        <w:t>5 See in particular decision No. 14-DCC-27 and the decisions of the European Commission COMP / M.7625, COMP / M.8086, and COMP / M.8199 cited above.</w:t>
      </w:r>
    </w:p>
    <w:p>
      <w:r>
        <w:t>6 See in particular the letter from the Minister of Economy C2008-80 and decision COMP / M.3039 cited above.</w:t>
      </w:r>
    </w:p>
    <w:p>
      <w:r>
        <w:t>7 See in particular the aforementioned decisions of the European Commission COMP / M.7625 for segmentation by use and COMP / M.9495 for segmentation by type of seed.</w:t>
      </w:r>
    </w:p>
    <w:p>
      <w:r>
        <w:t>8 Ibid.</w:t>
      </w:r>
    </w:p>
    <w:p>
      <w:r>
        <w:t>22. In this case, Avril markets olive oil primarily packaged under MDF for GMS9 and seed oils packaged for GMS under MDD and under MDF for RHF and IAA.</w:t>
      </w:r>
    </w:p>
    <w:p>
      <w:r>
        <w:t>2. THE GEOGRAPHIC MARKETS</w:t>
      </w:r>
    </w:p>
    <w:p>
      <w:r>
        <w:t>23. Competition authorities have left the question of delimitation open between a national geographic market and a market including several neighboring countries10.</w:t>
      </w:r>
    </w:p>
    <w:p>
      <w:r>
        <w:t>24. In this case, the question of the exact delimitation of these markets can also be left open, insofar as the conclusions of the competitive analysis remain unchanged regardless of the segmentations adopted.</w:t>
      </w:r>
    </w:p>
    <w:p>
      <w:r>
        <w:t>25. The analysis will be conducted at the national level.</w:t>
      </w:r>
    </w:p>
    <w:p>
      <w:r>
        <w:t>C. THE MARKETS FOR THE MANUFACTURE AND MARKETING OF COLD SAUCES</w:t>
      </w:r>
    </w:p>
    <w:p>
      <w:r>
        <w:t>1. PRODUCT MARKETS</w:t>
      </w:r>
    </w:p>
    <w:p>
      <w:r>
        <w:t>26. Decision-making practice has distinguished the market for hot sauces from that for cold sauces. Within cold sauces, mustard, tomato ketchup, non-emulsified red sauces, mayonnaise, and salad dressings are distinguished. Among salad dressings, decision-making practice has considered a distinction between vinaigrettes and cream-based dressings11.</w:t>
      </w:r>
    </w:p>
    <w:p>
      <w:r>
        <w:t>27. Decision-making practice also considers that segmentation according to the distribution channel is relevant for sauces intended for GMS, RHF, and IAA. Regarding GMS, competition authorities concluded that there is a market encompassing sauces marketed under MDD and under MDF12. Regarding RHF, decision-making practice has also considered a finer segmentation between sauces intended to be used by kitchen staff ("back of house"), packaged in buckets or other large containers, and sauces intended to be used by customers of RHF establishments ("front of house"), packaged in bottles, small cups, or individual sachets.</w:t>
      </w:r>
    </w:p>
    <w:p>
      <w:r>
        <w:t>28. Insofar as regardless of the delimitation adopted, the conclusions of the competitive analysis remain unchanged, the question of the exact delimitation of the market can be left open.</w:t>
      </w:r>
    </w:p>
    <w:p>
      <w:r>
        <w:t>29. In this case, Avril primarily markets cold sauces to GMS and RHF13.</w:t>
      </w:r>
    </w:p>
    <w:p>
      <w:r>
        <w:t>9 Avril is marginally active in the French market for the marketing of olive oil to RHF.</w:t>
      </w:r>
    </w:p>
    <w:p>
      <w:r>
        <w:t>10 See in particular the decisions of the European Commission COMP / M.7625 and COMP / M.9495 cited above.</w:t>
      </w:r>
    </w:p>
    <w:p>
      <w:r>
        <w:t>11 See in particular decision No. 11-DCC-84 of May 26, 2011, regarding the joint control of Gyma France and its subsidiaries by Liberfy and Idia Participations.</w:t>
      </w:r>
    </w:p>
    <w:p>
      <w:r>
        <w:t>12 See in particular decision No. 10-DCC-35 cited above.</w:t>
      </w:r>
    </w:p>
    <w:p>
      <w:r>
        <w:t>13 Avril is marginally active in the French market for the marketing of cold sauces to IAA.</w:t>
      </w:r>
    </w:p>
    <w:p>
      <w:r>
        <w:t>2. THE GEOGRAPHIC MARKETS</w:t>
      </w:r>
    </w:p>
    <w:p>
      <w:r>
        <w:t>30. Decision-making practice considers that the markets for the manufacture and marketing of sauces, regardless of the distribution channel, are of national dimension. There is no reason to challenge this delimitation.</w:t>
      </w:r>
    </w:p>
    <w:p>
      <w:r>
        <w:t>31. In this case, the analysis will be conducted at the national level.</w:t>
      </w:r>
    </w:p>
    <w:p>
      <w:r>
        <w:t>D. THE MARKETS FOR THE PRODUCTION AND MARKETING OF SHELL EGGS, EGG PRODUCTS, AND EGG DERIVATIVES</w:t>
      </w:r>
    </w:p>
    <w:p>
      <w:r>
        <w:t>1. PRODUCT MARKETS</w:t>
      </w:r>
    </w:p>
    <w:p>
      <w:r>
        <w:t>32. National competition authorities have considered a segmentation of the egg and egg product marketing sector by species (quail, hens, etc.)14. They have also distinguished (i) shell eggs, (ii) egg products, and (iii) processed egg products (omelets, peeled hard-boiled eggs, tortillas, whipped egg whites, scrambled eggs, fried eggs, poached eggs, hard-boiled eggs in bars, omelets in cubes or strips)15.</w:t>
      </w:r>
    </w:p>
    <w:p>
      <w:r>
        <w:t>33. Within the market for shell eggs, a segmentation of hen eggs has been considered according to the characteristics of the eggs: (i) cage eggs, (ii) free-range eggs, (iii) free-range eggs, including farm eggs with red labels, red label eggs, and free-range eggs, and (iv) organic eggs16.</w:t>
      </w:r>
    </w:p>
    <w:p>
      <w:r>
        <w:t>34. Within the market for egg products, a segmentation has also been considered between dry egg products and liquid egg products for products intended for the agri-food industries17.</w:t>
      </w:r>
    </w:p>
    <w:p>
      <w:r>
        <w:t>35. National decision-making practice has also considered segmentation according to the distribution channel, namely GMS, IAA, and RHF.</w:t>
      </w:r>
    </w:p>
    <w:p>
      <w:r>
        <w:t>36. Decision-making practice has questioned, while leaving the question open, a possible segmentation of the markets for the marketing of shell eggs to GMS according to the commercial positioning of the products between those marketed under MDD and under MDF. The notifying party believes that such segmentation is not relevant, given the proximity of products sold under MDF and under MDD.</w:t>
      </w:r>
    </w:p>
    <w:p>
      <w:r>
        <w:t>37. In this case, in the absence of competitive issues regardless of the segmentation adopted, the question of the exact delimitation of the market can be left open.</w:t>
      </w:r>
    </w:p>
    <w:p>
      <w:r>
        <w:t>38. Avril is present in the market for the production and marketing of shell eggs intended for GMS, RHF, and marginally for IAA, as well as in the production and marketing of egg products and egg derivatives for RHF and IAA.</w:t>
      </w:r>
    </w:p>
    <w:p>
      <w:r>
        <w:t>14 See in particular the decisions of the Authority No. 11-DCC-154 of October 24, 2011, regarding the exclusive control of Financière du Forest, holding of the GAD group, by Centrale Coopérative Agricole Bretonne, No. 13-DCC-156 of October 31, 2013, regarding the creation of a joint venture by Aviculteurs Associés and Appro, and No. 19-DCC-147 of July 24, 2019, regarding the merger between agricultural cooperatives D’Aucy and Triskalia.</w:t>
      </w:r>
    </w:p>
    <w:p>
      <w:r>
        <w:t>15 See in particular decisions No. 11-DCC-154 and No. 19-DCC-147 cited above.</w:t>
      </w:r>
    </w:p>
    <w:p>
      <w:r>
        <w:t>16 See in particular decisions No. 11-DCC-154, No. 13-DCC-156, and No. 19-DCC-147 cited above.</w:t>
      </w:r>
    </w:p>
    <w:p>
      <w:r>
        <w:t>17 See decision No. 13-DCC-156 cited above.</w:t>
      </w:r>
    </w:p>
    <w:p>
      <w:r>
        <w:rPr>
          <w:b/>
        </w:rPr>
        <w:t>[Pages 10–12]</w:t>
      </w:r>
    </w:p>
    <w:p>
      <w:r>
        <w:t>2. THE GEOGRAPHIC MARKETS</w:t>
      </w:r>
    </w:p>
    <w:p>
      <w:r>
        <w:t>39. National competition authorities consider that the markets for the production and marketing of eggs and egg-based products are at least of national dimension. However, they noted that active buyers in this market in France had the possibility to source from suppliers located in other Member States of the Union.</w:t>
      </w:r>
    </w:p>
    <w:p>
      <w:r>
        <w:t>40. In this case, the question of the exact delimitation of these markets can be left open, insofar as the conclusions of the competitive analysis remain unchanged regardless of the segmentations adopted. The analysis will be conducted at the national level.</w:t>
      </w:r>
    </w:p>
    <w:p>
      <w:r>
        <w:t>E. THE MARKETS FOR THE MARKETING OF LEGUMES</w:t>
      </w:r>
    </w:p>
    <w:p>
      <w:r>
        <w:t>1. PRODUCT MARKETS</w:t>
      </w:r>
    </w:p>
    <w:p>
      <w:r>
        <w:t>41. The Competition Authority has never ruled, to date, on the delimitation of the market for the marketing of legumes. However, it has considered the inclusion of flageolets, lentils, and chickpeas in the markets for the marketing of vegetables without resolving the issue18.</w:t>
      </w:r>
    </w:p>
    <w:p>
      <w:r>
        <w:t>42. In the vegetable market, decision-making practice retains a segmentation according to the distribution channel, distinguishing vegetables intended for large and medium-sized retailers (GMS) from those intended for the hotel, restaurant, and catering sector (RHF) and those sold to the agri-food industry (IAA). Within the GMS, a distinction between products marketed under MDD and under MDF has been considered. Regarding canned vegetables, decision-making practice has retained a market including both products sold under MDD and under MDF19.</w:t>
      </w:r>
    </w:p>
    <w:p>
      <w:r>
        <w:t>43. The practice also distinguishes vegetables according to the technology used: fresh vegetables (1st range), canned vegetables (2nd range), frozen vegetables (3rd range), fresh, raw, washed, and peeled vegetables (4th range), as well as sterilized and vacuum-pasteurized vegetables (5th range).</w:t>
      </w:r>
    </w:p>
    <w:p>
      <w:r>
        <w:t>44. Finally, on several occasions, the Authority has considered, in the sector of food consumer goods, the existence of distinct markets for products benefiting from a protected designation of origin ("AOP")20. Indeed, products marketed under AOP meet specific criteria defined by strict specifications. Several legumes benefit from an AOP: this is notably the case for lentils under AOP "Lentilles vertes du Puy" marketed by Soufflet.</w:t>
      </w:r>
    </w:p>
    <w:p>
      <w:r>
        <w:t>45. The European Commission has also considered a distinct market for legumes while leaving open the question of potential sub-segmentations between different types of legumes, notably red beans, lima beans (or "butter beans"), and mixed beans21.</w:t>
      </w:r>
    </w:p>
    <w:p>
      <w:r>
        <w:t>46. The notifying party believes that a distinction between different legumes is not relevant and that there is also no need to distinguish between products marketed under MDF and under MDD, given the high penetration rate of the latter and the low consumer attachment to brands. It also considers that it is not relevant to retain a distinct market for AOP lentils due to a high substitutability between non-AOP lentils and lentils benefiting from an AOP from the consumer's perspective.</w:t>
      </w:r>
    </w:p>
    <w:p>
      <w:r>
        <w:t>47. In any case, the question of the exact delimitation of these markets can be left open, insofar as the conclusions of the competitive analysis remain unchanged regardless of the segmentations adopted. The competitive analysis will be conducted according to the most conservative segmentations, that is to say by type of legumes, by marketing format, by distribution channel, as well as segmenting within the GMS between products marketed under MDD, those marketed under MDF, and those benefiting from an AOP.</w:t>
      </w:r>
    </w:p>
    <w:p>
      <w:r>
        <w:t>48. In this case, Soufflet is active in the market for the marketing of legumes to GMS, IAA, and RHF. It markets different types of legumes in dry and canned form: lentils22, beans23, flageolets, chickpeas, and split peas.</w:t>
      </w:r>
    </w:p>
    <w:p>
      <w:r>
        <w:t>2. THE GEOGRAPHIC MARKETS</w:t>
      </w:r>
    </w:p>
    <w:p>
      <w:r>
        <w:t>49. Regarding the production and marketing of food products, decision-making practice24 consistently considers that the markets are of national dimension due to specific tastes, preferences, and eating habits of consumers in each country, differences in prices between Member States, and differences in the structure of supply according to Member States.</w:t>
      </w:r>
    </w:p>
    <w:p>
      <w:r>
        <w:t>50. In this case, the various markets for legumes have therefore been analyzed at the national level.</w:t>
      </w:r>
    </w:p>
    <w:p>
      <w:r>
        <w:t>F. MARKETS FOR THE SUPPLY AND MARKETING OF RICE, QUINOA, AND OTHER CEREALS</w:t>
      </w:r>
    </w:p>
    <w:p>
      <w:r>
        <w:t>1. PRODUCT MARKETS</w:t>
      </w:r>
    </w:p>
    <w:p>
      <w:r>
        <w:t>51. Decision-making practice25 has identified a market for rice distinct from that of couscous, noting that the various dry grocery starches are not substitutable for each other from both the supply and demand perspectives. By analogy, a distinction between rice, quinoa, and various products based on other cereals can be considered.</w:t>
      </w:r>
    </w:p>
    <w:p>
      <w:r>
        <w:t>52. Regarding rice, similar to decision-making practice in other sectors, decision-making practice has considered segmentation according to the distribution channel, distinguishing products intended for GMS from those intended for RHF and those sold to IAA26. Within the GMS channel, decision-making practice has considered a distinction between products marketed under MDD and under MDF27.</w:t>
      </w:r>
    </w:p>
    <w:p>
      <w:r>
        <w:t>53. The notifying party believes that a distinction between MDD and MDF is not relevant given the penetration rate of MDD for the various dry grocery starches and the proximity in format, appearance, and price between these two categories of products.</w:t>
      </w:r>
    </w:p>
    <w:p>
      <w:r>
        <w:t>54. In this case, the question of the exact delimitation of these markets can be left open, insofar as the conclusions of the competitive analysis remain unchanged regardless of the segmentations adopted.</w:t>
      </w:r>
    </w:p>
    <w:p>
      <w:r>
        <w:t>55. Soufflet is active in the markets for rice, durum wheat semolina (couscous), quinoa, polenta, bulgur, and spelt to GMS under MDD and under MDF, to IAA, and to RHF.</w:t>
      </w:r>
    </w:p>
    <w:p>
      <w:r>
        <w:t>2. THE GEOGRAPHIC MARKETS</w:t>
      </w:r>
    </w:p>
    <w:p>
      <w:r>
        <w:t>56. In the food sector, competition authorities generally consider that competition occurs at the national level28. Consumer preferences, tastes, and habits, price differences, variations in market shares of operators in different countries, and the strong presence of national brands justify this delimitation. In this regard, decision-making practice has retained that the markets for rice and couscous are of national dimension29.</w:t>
      </w:r>
    </w:p>
    <w:p>
      <w:r>
        <w:t>57. In this case, the markets for rice, durum wheat semolina (couscous), quinoa, polenta, bulgur, and spelt have therefore been analyzed at the national level.</w:t>
      </w:r>
    </w:p>
    <w:p>
      <w:r>
        <w:rPr>
          <w:b/>
        </w:rPr>
        <w:t>[Pages 13–15]</w:t>
      </w:r>
    </w:p>
    <w:p>
      <w:r>
        <w:t>G. MARKETS FOR THE MANUFACTURE AND MARKETING OF CANNED MEALS</w:t>
      </w:r>
    </w:p>
    <w:p>
      <w:r>
        <w:t>1. PRODUCT MARKETS</w:t>
      </w:r>
    </w:p>
    <w:p>
      <w:r>
        <w:t>58. Decision-making practice30 has established a segmentation within the markets for the manufacture and marketing of canned meals (hereinafter, "CM"), on the one hand, according to the geographical origin of the recipes (French canned meals, Italian canned meals, exotic canned meals) and, on the other hand, according to the distribution channel between CM intended for GMS, those intended for RHF, and those sold to IAA.</w:t>
      </w:r>
    </w:p>
    <w:p>
      <w:r>
        <w:t>59. Within the GMS distribution channel, the question of the distinction between CM marketed under MDD and under MDF has been left open. Decision-making practice has also considered a distinct market for microwaveable CM.</w:t>
      </w:r>
    </w:p>
    <w:p>
      <w:r>
        <w:t>60. Within the RHF distribution channel, decision-making practice has considered segmenting between "key account" clients and smaller clients.</w:t>
      </w:r>
    </w:p>
    <w:p>
      <w:r>
        <w:t>61. In any case, the question of the exact delimitation of these markets can be left open, insofar as the conclusions of the competitive analysis remain unchanged regardless of the segmentations adopted.</w:t>
      </w:r>
    </w:p>
    <w:p>
      <w:r>
        <w:t>62. In this case, Soufflet only markets French microwaveable meals to GMS and RHF.</w:t>
      </w:r>
    </w:p>
    <w:p>
      <w:r>
        <w:t>2. GEOGRAPHIC MARKETS</w:t>
      </w:r>
    </w:p>
    <w:p>
      <w:r>
        <w:t>63. The consistent decision-making practice of national competition authorities considers that the markets for CM are of national dimension, given the differences in tastes and dietary habits specific to each country.</w:t>
      </w:r>
    </w:p>
    <w:p>
      <w:r>
        <w:t>64. The effects of the operation on the markets for the manufacture and marketing of CM have therefore been analyzed at the national level.</w:t>
      </w:r>
    </w:p>
    <w:p>
      <w:r>
        <w:t>H. MARKETS FOR THE MANUFACTURE AND MARKETING OF FLOURS</w:t>
      </w:r>
    </w:p>
    <w:p>
      <w:r>
        <w:t>1. PRODUCT MARKETS</w:t>
      </w:r>
    </w:p>
    <w:p>
      <w:r>
        <w:t>65. National decision-making practice31 has noted that the market for the production and marketing of flours could be segmented between, on the one hand, the production of organic wheat flour and, on the other hand, the production of traditional wheat flour, which can be further segmented according to the outlets for the flour: marketing to artisanal bakeries, industrial bakeries, large and medium-sized retailers, and finally to user industries (biscuit manufacturers...).</w:t>
      </w:r>
    </w:p>
    <w:p>
      <w:r>
        <w:t>66. The notifying party believes that there is no need to distinguish wheat flour from alternative flours, such as rice or legume flours. Given the specificity of these alternative flours, most of which are gluten-free and likely to meet a particular need, the Competition Authority believes that a segmentation by type of flour between wheat flours and alternative flours (such as rice flour, chickpeas, lentils, chestnuts, hemp) cannot be excluded.</w:t>
      </w:r>
    </w:p>
    <w:p>
      <w:r>
        <w:t>67. Decision-making practice32 has also considered a distinct market for so-called "functional" flours corresponding to second transformation ingredients obtained by processing flour and various cereals, aimed at affecting the nutritional properties or texture of the final product.</w:t>
      </w:r>
    </w:p>
    <w:p>
      <w:r>
        <w:t>68. In this case, the question of the exact delimitation of these markets can be left open, insofar as the conclusions of the competitive analysis remain unchanged regardless of the segmentations adopted.</w:t>
      </w:r>
    </w:p>
    <w:p>
      <w:r>
        <w:t>69. Soufflet produces and markets rice flours and legume flours for IAA and RHF as well as functional flours for IAA33.</w:t>
      </w:r>
    </w:p>
    <w:p>
      <w:r>
        <w:t>2. GEOGRAPHIC MARKETS</w:t>
      </w:r>
    </w:p>
    <w:p>
      <w:r>
        <w:t>70. Decision-making practice holds that the markets for the production and marketing of flours are of national dimension.</w:t>
      </w:r>
    </w:p>
    <w:p>
      <w:r>
        <w:t>71. Regarding functional flours, both a European dimension and a national dimension have been considered34.</w:t>
      </w:r>
    </w:p>
    <w:p>
      <w:r>
        <w:t>72. In this case, the analysis will be conducted at the national level.</w:t>
      </w:r>
    </w:p>
    <w:p>
      <w:r>
        <w:t>I. MARKETS FOR CULINARY AIDS</w:t>
      </w:r>
    </w:p>
    <w:p>
      <w:r>
        <w:t>1. PRODUCT MARKETS</w:t>
      </w:r>
    </w:p>
    <w:p>
      <w:r>
        <w:t>73. The European Commission has defined a market for culinary aids that includes, in particular, broths, cubes, stocks, and bouquet garni35.</w:t>
      </w:r>
    </w:p>
    <w:p>
      <w:r>
        <w:t>74. Within this market, the Commission has established a segmentation according to the distribution channel, distinguishing products intended for GMS from those intended for RHF and those sold to IAA. For products sold to GMS, decision-making practice considers on a case-by-case basis whether a distinction between products marketed under MDD and under MDF is relevant36. No elements in this case allow for the exclusion of the relevance of such segmentation, so the analysis will be conducted by distinguishing MDD products on the one hand, and MDF products on the other.</w:t>
      </w:r>
    </w:p>
    <w:p>
      <w:r>
        <w:t>75. In this case, Soufflet primarily markets corn flour, potato starch, breadcrumbs, and croutons to RHF37.</w:t>
      </w:r>
    </w:p>
    <w:p>
      <w:r>
        <w:t>76. The question of the inclusion of these products in the markets for culinary aids as well as the exact delimitation of these markets can be left open due to the absence of any competitive issues.</w:t>
      </w:r>
    </w:p>
    <w:p>
      <w:r>
        <w:t>2. GEOGRAPHIC MARKETS</w:t>
      </w:r>
    </w:p>
    <w:p>
      <w:r>
        <w:t>77. The Commission has determined that the markets for culinary aids are of national dimension. There is no need to challenge this delimitation in the context of the present operation.</w:t>
      </w:r>
    </w:p>
    <w:p>
      <w:r>
        <w:t>78. The effects of the operation on the markets for culinary aids have therefore been analyzed at the national level.</w:t>
      </w:r>
    </w:p>
    <w:p>
      <w:r>
        <w:rPr>
          <w:b/>
        </w:rPr>
        <w:t>[Pages 16–18]</w:t>
      </w:r>
    </w:p>
    <w:p>
      <w:r>
        <w:t xml:space="preserve">III. COMPETITIVE ANALYSIS  </w:t>
        <w:br/>
        <w:t xml:space="preserve">79. The operation does not induce any horizontal overlap and no vertical integration38. Given the existing connection between the respective activities of the parties in the various markets for the marketing of food consumer goods, it is necessary to analyze whether the operation is likely to lead to conglomerate effects in these markets.  </w:t>
        <w:br/>
        <w:t xml:space="preserve">80. A concentration is likely to have conglomerate effects when the new entity extends or strengthens its presence in markets that are connected to other markets where it holds market power. Some conglomerate concentrations can indeed produce restrictive effects on competition when they allow the technical or commercial tying of the sales of the new entity's products in such a way as to lock the market and eliminate competitors. However, it is unlikely that a concentration will pose a risk of conglomerate effect if the new entity does not have a strong position in a market from which it can leverage.  </w:t>
        <w:br/>
        <w:t xml:space="preserve">81. Decision-making practice generally considers that a risk of conglomerate effect can be ruled out as long as the market share of the company resulting from the operation in a relevant market does not exceed 30%39.  </w:t>
        <w:br/>
        <w:t xml:space="preserve">82. In accordance with decision-making practice, the likelihood that the operation distorts competition through conglomerate effects is assessed in light of (i) the ability to effectively implement a locking strategy, (ii) the incentive to implement such a strategy, and (iii) the effects of this strategy on the markets concerned.  </w:t>
        <w:br/>
        <w:t xml:space="preserve">83. In this case, the operation will allow Avril, whose activity in the food consumer goods sector in France was limited to the markets for edible oils, cold sauces, and eggs, egg products, and processed products based on eggs, to expand its activities to the markets for legumes, rice, quinoa, other cereals, flours, canned prepared dishes, and culinary aids.  </w:t>
        <w:br/>
        <w:t xml:space="preserve">84. In these various markets and their segmentations, the market shares of the parties are below 30% except for (i) the markets for the production and marketing of packaged olive oils intended for GMS and packaged seed oils intended for GMS and RHF, where Avril is active, and (ii) the markets for the production and marketing of lentils to GMS40, where Soufflet is active.  </w:t>
        <w:br/>
        <w:t xml:space="preserve">85. Thus, it is necessary to examine to what extent the new entity could rely on the position it will hold in these markets to implement a coupling strategy (i) in the GMS circuit and (ii) in the RHF circuit.  </w:t>
        <w:br/>
        <w:t xml:space="preserve">38 Any vertical link between the activities of Avril and Soufflet is ruled out, as no product marketed by Avril is used as an input by Soufflet, except for insignificant volumes of vegetable oils.  </w:t>
        <w:br/>
        <w:t xml:space="preserve">39 Guidelines of the Competition Authority regarding the control of concentrations, para. 678 and 720.  </w:t>
        <w:br/>
        <w:t>40 Soufflet's market share in the marketing of rice intended for GMS under MDD is slightly above 30%.</w:t>
      </w:r>
    </w:p>
    <w:p>
      <w:r>
        <w:t xml:space="preserve">(i) In the GMS circuit  </w:t>
        <w:br/>
        <w:t xml:space="preserve">86. In the market for the marketing of packaged olive oils under MDF, Avril estimates that its market share is below [40-50]%. In the various markets for the marketing of packaged seed oils, Avril's market shares are close to or above 50% depending on the segmentation considered, noting that the notifying party estimates holding market shares above 80% for seed oils sold under MDF (even around 90% to 100% for peanut oils marketed under MDF).  </w:t>
        <w:br/>
        <w:t xml:space="preserve">87. Soufflet holds market shares between [30-40]% and [40-50]% in the various markets for the marketing of lentils in dry form.  </w:t>
        <w:br/>
        <w:t xml:space="preserve">88. However, the new entity will have neither the incentive nor the ability to leverage its position in these markets to strengthen its position in related markets.  </w:t>
        <w:br/>
        <w:t xml:space="preserve">89. First, the new entity will not be able to commercially tie (i) the sales of the various products marketed under MDD to each other and (ii) the sales of products marketed under MDD and under MDF. Indeed, as the Authority has noted41, products marketed under MDD are subject to tenders specific to each product family. Thus, the possibility of implementing a coupling strategy between the various products marketed under MDD as well as between the products marketed under MDD and under MDF by, respectively, Avril and Soufflet can be ruled out.  </w:t>
        <w:br/>
        <w:t xml:space="preserve">90. Secondly, despite holding, prior to the operation, on the one hand, a range of products with connected links such as edible oils and cold sauces, and, on the other hand, well-known brands such as Puget, Lesieur, or Isio 4, Avril has not managed to implement leverage effects between the different markets in which the group is already active. In this regard, it appears that Avril's positions in certain markets for cold sauces such as mayonnaise and salad dressings, also marketed under the Lesieur brand, have not progressed for several years. Similarly, the range of organic seed oils "Lesieur Colza bio" recently introduced to the market has only been referenced by [confidential] % of GMS. Avril has therefore not managed to implement leverage between markets with significant connectivity. In the absence of strengthening Avril in the markets where it is active following the operation, the new entity will also likely not be able to do so, especially since Soufflet does not have in its portfolio a well-known brand that would facilitate the implementation of such leverage and that the products of Avril and Soufflet have a looser connection than those in Avril's current portfolio.  </w:t>
        <w:br/>
        <w:t xml:space="preserve">91. Thirdly, the Authority has had the opportunity to note on numerous occasions42 that, in the markets for the marketing of food products intended for GMS, the latter generally have significant bargaining power vis-à-vis their suppliers.  </w:t>
        <w:br/>
        <w:t xml:space="preserve">92. In this case, the bargaining power of the GMS brands that are customers of Avril in the markets for the marketing of packaged seed oils is linked to the concentration of their demand. Indeed, Lesieur markets a significant proportion of its oils to [confidential] customers, including [confidential] purchasing centers common to two GMS operators. The purchasing share of these [confidential] purchasing centers is significant as they together represent more than half of Lesieur's sales of seed oils to GMS.  </w:t>
        <w:br/>
        <w:t xml:space="preserve">93. This bargaining power is particularly demonstrated by the partial delisting of Puget brand oils by [confidential] and Costa d'Oro brand oils by [confidential]43. Similarly, the Vivien Paille brand has been delisted across all products by [confidential].  </w:t>
        <w:br/>
        <w:t xml:space="preserve">94. This bargaining power is even stronger as, for the majority of the products it markets, the new entity will face competition from major operators who represent credible alternatives for customers in the event that the new entity implements a coupling strategy. Indeed, except for certain specific products where Avril's market shares are the highest44, Avril will continue to face competition from major operators in the markets for the marketing of packaged oils (Cargill, Sovena, Borges, and HBS Codefa), cold sauces (Unilever, Heinz, Benedicta), and eggs (ODNV and Loué).  </w:t>
        <w:br/>
        <w:t xml:space="preserve">95. Soufflet's competitors are also significant groups in the agri-food sector that have a wide range of products and well-known brands (Ebro Foods, Tipiak, Bonduelle, D’Aucy, Haudecoeur, among others).  </w:t>
        <w:br/>
        <w:t xml:space="preserve">96. Several of these competitors themselves have diversified portfolios and product ranges, some of which have a stronger connection than that existing between the activities of Avril and those of Soufflet. In this regard, it appears that the Ebro Foods group markets, like the new entity, rice, legumes, quinoa, sauces under the Panzani brand, and shell eggs.  </w:t>
        <w:br/>
        <w:t xml:space="preserve">97. These operators are therefore also able to leverage their different activities, which could counteract the effects of such behavior if it were implemented by the new entity.  </w:t>
        <w:br/>
        <w:t>98. Therefore, the new entity will have neither the incentive nor the ability to implement a locking strategy by practicing tied offers to GMS, so that the operation is not likely to harm competition in the markets for food consumer goods intended for GMS through conglomerate effects.</w:t>
      </w:r>
    </w:p>
    <w:p>
      <w:r>
        <w:t xml:space="preserve">(ii) In the RHF circuit  </w:t>
        <w:br/>
        <w:t xml:space="preserve">99. The parties hold market shares all below 30% in the markets for the marketing of food goods intended for RHF, except for (i) the market for the marketing of packaged rapeseed oils, where Avril holds a market share below 40%, and (ii) the market for the marketing of packaged sunflower oils, where Avril holds a market share below 65%.  </w:t>
        <w:br/>
        <w:t xml:space="preserve">100. Several elements allow us to rule out the incentives and the capacity of the new entity to tie the sales of different food consumer goods intended for RHF.  </w:t>
        <w:br/>
        <w:t xml:space="preserve">43 [Confidential].  </w:t>
        <w:br/>
        <w:t>44 Avril holds significant market shares primarily in the markets for the marketing of packaged seed oils marketed under MDF: in the markets including all types of seeds (approximately [80-90]%), in the rapeseed oil market (approximately [70-80]%), in the sunflower oil market (approximately [70-80]%), in the peanut oil market (90%-100%), and in the grape seed oil market (below [40-50]%).</w:t>
      </w:r>
    </w:p>
    <w:p>
      <w:r>
        <w:rPr>
          <w:b/>
        </w:rPr>
        <w:t>[Pages 19–20]</w:t>
      </w:r>
    </w:p>
    <w:p>
      <w:r>
        <w:t>101. First, the competitors of the parties in the markets for consumer food products are also significant groups, which represent credible alternatives for customers to the offer of the new entity (Cargill, Colona, Eureden notably for Avril; Herba, Sabarot, Pastacorp, Cofigéo notably for Soufllet).</w:t>
      </w:r>
    </w:p>
    <w:p>
      <w:r>
        <w:t>102. Next, the customers of the parties in these markets are primarily major players in the hotel, restaurant, and catering sector (RHF) who have significant bargaining power (Pomona, Pro à Pro, Metro, and Carrefour notably), capable of disciplining the new entity.</w:t>
      </w:r>
    </w:p>
    <w:p>
      <w:r>
        <w:t>103. Finally, it can be noted that the markets for packaged rapeseed oil and packaged sunflower oil have been defined based on a conservative approach. If a global market for packaged seed oils were considered, Avril's market share would be below [30-40]%. As a subsidiary point, it can be observed that such a market share level, slightly above the 30% threshold, makes the scenario of the new entity implementing leverage effects on the RHF circuit from the market for packaged seed oils unlikely.</w:t>
      </w:r>
    </w:p>
    <w:p>
      <w:r>
        <w:t>104. Therefore, the new entity will have neither the incentive nor the capacity to implement a locking strategy by making tied offers to the RHF, such that the operation is not likely to harm competition in the markets for consumer food products intended for the RHF, through conglomerate effects.</w:t>
      </w:r>
    </w:p>
    <w:p>
      <w:r>
        <w:t>DECISION</w:t>
      </w:r>
    </w:p>
    <w:p>
      <w:r>
        <w:t>Single Article: The operation notified under number 22-092 is authorized.</w:t>
      </w:r>
    </w:p>
    <w:p>
      <w: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