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https://www.autoritedelaconcurrence.fr/fr/decision-de-controle-des-concentrations/relative-la-prise-de-controle-exclusif-de-la-societe-361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22-DCC-107 of June 27, 2022  </w:t>
        <w:br/>
        <w:t xml:space="preserve">regarding the exclusive control acquisition of the company Groupe Batisanté  </w:t>
        <w:br/>
        <w:t xml:space="preserve">by the company IK Investment Partners  </w:t>
        <w:br/>
        <w:t xml:space="preserve">The Competition Authority,  </w:t>
        <w:br/>
        <w:t xml:space="preserve">Having regard to the complete notification file submitted to the mergers department on June 10, 2022,  </w:t>
        <w:br/>
        <w:t xml:space="preserve">concerning the exclusive control acquisition of the company Groupe Batisanté by the company  </w:t>
        <w:br/>
        <w:t xml:space="preserve">IK Investment Partners, formalized by a purchase agreement dated April 14,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 </w:t>
        <w:br/>
        <w:t xml:space="preserve">IK Investment Partners of the company Groupe Batisanté, active in the sectors of fire protection,  </w:t>
        <w:br/>
        <w:t xml:space="preserve">building hygiene, technical diagnostics, and troubleshooting and maintenance. It constitutes a concentration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control thresholds mentioned in I of Article L. 430-2 of the Commercial Code are exceeded.  </w:t>
        <w:br/>
        <w:t xml:space="preserve">The present operation is therefore subject to the provisions of Articles L. 430-3 and following of the Commercial Code  </w:t>
        <w:br/>
        <w:t xml:space="preserve">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22-098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