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https://www.autoritedelaconcurrence.fr/fr/decision-de-controle-des-concentrations/relative-la-prise-de-controle-exclusif-de-la-societe-367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22-DCC-158 of August 30, 2022  </w:t>
        <w:br/>
        <w:t xml:space="preserve">regarding the exclusive control acquisition of the company Auvergne Auto by  </w:t>
        <w:br/>
        <w:t xml:space="preserve">the company Groupe Grim  </w:t>
        <w:br/>
        <w:t xml:space="preserve">The Competition Authority,  </w:t>
        <w:br/>
        <w:t xml:space="preserve">Having regard to the notification file submitted in full to the mergers department on August 12, 2022,  </w:t>
        <w:br/>
        <w:t xml:space="preserve">concerning the exclusive control acquisition of the company Auvergne Auto by the company Groupe Grim,  </w:t>
        <w:br/>
        <w:t xml:space="preserve">formalized by a letter of intent dated May 18,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Auvergne Auto, active  </w:t>
        <w:br/>
        <w:t xml:space="preserve">in the automotive distribution sector in Aurillac (15) and Saint-Flour (15) by the Groupe Grim, active  </w:t>
        <w:br/>
        <w:t xml:space="preserve">in the same sector. It constitutes a concentration operation within the meaning of  </w:t>
        <w:br/>
        <w:t xml:space="preserve">Article L. 430-1 of the Commercial Code. Given the turnover achieved by the  </w:t>
        <w:br/>
        <w:t xml:space="preserve">concerned companies, the operation does not fall under the jurisdiction of the European Union. However, the thresholds for control related to retail trade mentioned in II of Article  </w:t>
        <w:br/>
        <w:t xml:space="preserve">L. 430-2 of the Commercial Code are exceeded. The present operation is therefore subject to the  </w:t>
        <w:br/>
        <w:t xml:space="preserve">provisions 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22-206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