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https://www.autoritedelaconcurrence.fr/fr/decision-de-controle-des-concentrations/relative-la-prise-de-controle-exclusif-de-la-societe-368</w:t>
      </w:r>
    </w:p>
    <w:p>
      <w:r>
        <w:t>Pages translated : 2</w:t>
      </w:r>
    </w:p>
    <w:p/>
    <w:p>
      <w:r>
        <w:rPr>
          <w:b/>
        </w:rPr>
        <w:t>[Pages 1–2]</w:t>
      </w:r>
    </w:p>
    <w:p>
      <w:r>
        <w:t xml:space="preserve">FRENCH REPUBLIC  </w:t>
        <w:br/>
        <w:t xml:space="preserve">Decision No. 22-DCC-171 of September 12, 2022  </w:t>
        <w:br/>
        <w:t xml:space="preserve">regarding the exclusive control acquisition of the company France Solar by the  </w:t>
        <w:br/>
        <w:t xml:space="preserve">company Blue Pearl Energy  </w:t>
        <w:br/>
        <w:t xml:space="preserve">The Competition Authority,  </w:t>
        <w:br/>
        <w:t xml:space="preserve">Having regard to the complete notification file submitted to the mergers department on August 5, 2022,  </w:t>
        <w:br/>
        <w:t xml:space="preserve">concerning the exclusive control acquisition by the company Blue Pearl Energy of the company France Solar,  </w:t>
        <w:br/>
        <w:t xml:space="preserve">formalized by a draft share transfer agreement dated August 4, 2022;  </w:t>
        <w:br/>
        <w:t xml:space="preserve">Having regard to Book IV of the Commercial Code relating to the freedom of prices and competition, and  </w:t>
        <w:br/>
        <w:t xml:space="preserve">notably its Articles L. 430-1 to L. 430-7;  </w:t>
        <w:br/>
        <w:t xml:space="preserve">Having regard to the additional information provided by the notifying party during the investigation;  </w:t>
        <w:br/>
        <w:t xml:space="preserve">Adopts the following decision:  </w:t>
        <w:br/>
        <w:t xml:space="preserve">1. The notified operation consists of the exclusive control acquisition by the company Blue Pearl Energy  </w:t>
        <w:br/>
        <w:t xml:space="preserve">of the company France Solar and its subsidiaries, active in the sector of production, design, and installation of electrical energy through photovoltaics, the sector of climate engineering services, the sector of insulation services, as well as the sector of electric vehicle charging stations. It constitutes a concentration within the meaning of Article L. 430-1 of the Commercial Code. Given the revenues generated by the companies involved,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2. In light of the elements of the file, the operation is not likely to harm competition in the relevant markets.  </w:t>
        <w:br/>
        <w:t>1 Prior to the operation, France Solar will have acquired all the shares of the companies La Maison des Énergies, La Maison des Énergies SA, and France Solar Power.</w:t>
      </w:r>
    </w:p>
    <w:p>
      <w:r>
        <w:t xml:space="preserve">DECIDES  </w:t>
        <w:br/>
        <w:t xml:space="preserve">Sole Article: The operation notified under number 22-212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