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https://www.autoritedelaconcurrence.fr/fr/decision-de-controle-des-concentrations/relative-la-prise-de-controle-exclusif-de-la-societe-369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22-DCC-177 of September 15, 2022  </w:t>
        <w:br/>
        <w:t xml:space="preserve">regarding the exclusive control acquisition of the company GreenYellow by the  </w:t>
        <w:br/>
        <w:t xml:space="preserve">company Ardian France  </w:t>
        <w:br/>
        <w:t xml:space="preserve">The Competition Authority,  </w:t>
        <w:br/>
        <w:t xml:space="preserve">Having regard to the complete notification file submitted to the mergers department on September 2, 2022,  </w:t>
        <w:br/>
        <w:t xml:space="preserve">concerning the exclusive control acquisition of the company GreenYellow, via the company New Co Sab 310,  </w:t>
        <w:br/>
        <w:t xml:space="preserve">by the company Ardian France formalized by a unilateral purchase promise dated July 28,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Ardian France of the company  </w:t>
        <w:br/>
        <w:t xml:space="preserve">GreenYellow, active, directly and via its subsidiaries, in the energy sector, and in particular  </w:t>
        <w:br/>
        <w:t xml:space="preserve">the sectors of photovoltaic solar energy production, energy efficiency, and energy services. It constitutes a concentration operation within the meaning of Article L. 430-1  </w:t>
        <w:br/>
        <w:t xml:space="preserve">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