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w:t>
      </w:r>
    </w:p>
    <w:p>
      <w:r>
        <w:t>Pages translated : 13</w:t>
      </w:r>
    </w:p>
    <w:p/>
    <w:p>
      <w:r>
        <w:rPr>
          <w:b/>
        </w:rPr>
        <w:t>[Pages 1–3]</w:t>
      </w:r>
    </w:p>
    <w:p>
      <w:r>
        <w:t xml:space="preserve">FRENCH REPUBLIC  </w:t>
        <w:br/>
        <w:t xml:space="preserve">Decision No. 11-DCC-154 of October 24, 2011  </w:t>
        <w:br/>
        <w:t xml:space="preserve">regarding the exclusive control of the company Financière du Forest, holding of the GAD group, by the company Centrale Coopérative Agricole Bretonne  </w:t>
        <w:br/>
        <w:t xml:space="preserve">The Competition Authority,  </w:t>
        <w:br/>
        <w:t xml:space="preserve">Having regard to the notification file submitted to the concentrations service on March 10, 2011, declared complete on September 19, 2011, regarding the exclusive control of the company Financière du Forest by the company Centrale Coopérative Agricole Bretonne;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w:t>
        <w:br/>
        <w:t xml:space="preserve">A. THE ACQUIRER  </w:t>
        <w:br/>
        <w:t xml:space="preserve">1. The company Centrale Coopérative Agricole Bretonne (hereinafter "cooperative CECAB") is a cooperative agricultural company with variable capital that forms, notably with the cooperative Union Fermière Morbihannaise (UFM), the economic interest grouping (GIE) CECAB group. The GIE CECAB group (hereinafter "CECAB group") is a diversified agri-food group, active notably in the sectors of cereals, vegetables, eggs, and animals intended for slaughter (cattle, calves, poultry), present both at the collection stage and at the processing stage (fresh and canned products) and in agro-supply. The CECAB group is no longer present in the pork sector, as the cooperative CECAB sold all its pig farming activities in 2010 to the agricultural cooperative Prestor, which has not been part of the GIE CECAB group since February 28, 2011.  </w:t>
        <w:br/>
        <w:t>1 See the authorization decision of the Competition Authority No. 10-DCC-81 of July 21, 2010.</w:t>
      </w:r>
    </w:p>
    <w:p>
      <w:r>
        <w:t xml:space="preserve">2. The notifying party argues that the GIE CECAB group, to which it belongs, does not constitute a group within the meaning of competition law, as it does not legally have any control over the assets held by its members.  </w:t>
        <w:br/>
        <w:t xml:space="preserve">3. However, a group is a set of companies that are legally independent from each other but subject to a unified economic decision-making process. The companies in the group are thus placed under a single control that imposes a community of strategies and behaviors. As the Competition Authority recalls in its guidelines, it does not limit itself, in determining the existence of a single and lasting economic management, to examining only legal elements but also takes into account factual circumstances. It can, moreover, "take into account in its assessment various factors such as the existence of cross-shareholdings, the compensation of profits and losses between the companies brought together by the operation, the distribution of revenues among the different entities, or their joint liability."  </w:t>
        <w:br/>
        <w:t xml:space="preserve">4. In this case, regarding the management unit, the statutes of the GIE CECAB group specify that its purpose is "to implement all means to facilitate or develop the economic activity of its members, to improve or increase the results of this activity" and its object is "the coordination of the activities of its members, notably by proposing orientations and objectives and examining their investment plans, the rationalization of the administrative and financial management of its members (...), a unique method of accounting treatment, the rationalization of the commercial policy, market studies or joint sales, the rationalization of production, the rationalization of supplies, joint advertising, the rationalization of transport (...)."  </w:t>
        <w:br/>
        <w:t xml:space="preserve">In practice, the notifying party specifies that the GIE provides, on behalf of its members, the following services:  </w:t>
        <w:br/>
        <w:t xml:space="preserve">financial management, notably the management of all loans of the member companies, negotiation with banks, management of their cash flows, accounting expertise and management control, drafting of tax declarations and preparation of consolidated accounts;  </w:t>
        <w:br/>
        <w:t xml:space="preserve">general secretariat and legal direction, handling all litigation of the member companies, its legal secretariat, labor disputes, tax assistance, and more generally all acts such as notarial acts, contracts, capital increases, and insurance subscriptions of the member companies;  </w:t>
        <w:br/>
        <w:t xml:space="preserve">human resources management, for the management of salaried personnel, coordination of the social policy of the factories of the member companies of the group, staff training, payroll management, etc.;  </w:t>
        <w:br/>
        <w:t xml:space="preserve">technical management through the control of all investments made in factories, project studies, supplier selection, drafting of calls for tenders, monitoring of construction sites, and acceptance of works, etc.;  </w:t>
        <w:br/>
        <w:t xml:space="preserve">research and development management for the development of new products and processes.  </w:t>
        <w:br/>
        <w:t>2 See paragraphs 17 and following of the guidelines of the Competition Authority relating to the control of concentrations and the consolidated communication of the European Commission on the competence of the Commission under Regulation (EC) No. 139/2004 of the Council concerning the control of concentrations between undertakings.</w:t>
      </w:r>
    </w:p>
    <w:p>
      <w:r>
        <w:t xml:space="preserve">5. The examination of the minutes of the boards of directors of the cooperative CECAB and the GIE CECAB group over the last five years shows that the scope of these services involves making strategic commercial decisions by the GIE on behalf of its members. [Confidential].  </w:t>
        <w:br/>
        <w:t xml:space="preserve">6. Regarding the existence of cross-shareholdings, it appears that all members of the GIE (32 in total), except for the cooperative of Broons, have a capital link with one or the other of the two founding cooperatives, CECAB and UFM: [Confidential].  </w:t>
        <w:br/>
        <w:t xml:space="preserve">7. Regarding the financial solidarity links between the members of the GIE, [Confidential]. It thus appears that there are significant and lasting financial solidarity links between the members of the GIE that do not result exclusively from the mutual financial participations of the cooperatives CECAB and UFM in their respective subsidiaries.  </w:t>
        <w:br/>
        <w:t xml:space="preserve">8. Other notable factual elements can be highlighted that attest to the existence of an overall policy of the GIE CECAB group. This notably includes the proven existence of a common communication policy at the level of the GIE group: [Confidential]. Finally, the two offers to buy shares of the company Financière du Forest, which constitute the acts submitted for notification in the context of the present operation, were signed by the GIE CECAB group and not by the cooperative CECAB.  </w:t>
        <w:br/>
        <w:t xml:space="preserve">9. In light of the above and all the elements provided during the investigation, it appears that there is a common economic management, intended and organized as such by the members of the GIE within it. It can be considered that the set formed by the members of the GIE CECAB group constitutes, as of the date of the operation, an autonomous economic entity.  </w:t>
        <w:br/>
        <w:t xml:space="preserve">B. THE TARGET  </w:t>
        <w:br/>
        <w:t xml:space="preserve">10. The company Financière du Forest is a financial holding company holding several companies forming the Gad group (hereinafter "Gad group"), specialized in the slaughtering, cutting, and industrial processing of pork as well as the marketing of products derived from it, notably fresh meat and cured products (bellies, hams, sausages…). The Gad group is also marginally active in the slaughtering of other types of animals (cattle, calves, lambs) as well as in the manufacture and operation of purification, methanization, and drying equipment for agricultural and industrial waste.  </w:t>
        <w:br/>
        <w:t xml:space="preserve">11. Before the operation, the capital of Financière du Forest is distributed among the companies Financière du Fromeur, controlled by the CECAB group (41%), SAS Union Prestor/CECAB, controlled by the cooperative Prestor (49%), Unigrains (5.71%), and Sofipar (4.21%), the cooperatives Prestor and CECAB, the company SFAO, and 9 individuals holding respectively one share out of the 42,000 issued. At the creation of this holding company of the Gad group, the Minister of Economy estimated that no shareholder, due to their number and the voting rights provisions set out in the statutes, was able to exercise stable control over the created company.  </w:t>
        <w:br/>
        <w:t xml:space="preserve">3 [Confidential]  </w:t>
        <w:br/>
        <w:t xml:space="preserve">4 [Confidential]  </w:t>
        <w:br/>
        <w:t>5 [Confidential]</w:t>
      </w:r>
    </w:p>
    <w:p>
      <w:r>
        <w:rPr>
          <w:b/>
        </w:rPr>
        <w:t>[Pages 4–6]</w:t>
      </w:r>
    </w:p>
    <w:p>
      <w:r>
        <w:t>II. The operation</w:t>
        <w:br/>
        <w:t>12. The shareholders' agreement of the company Financière du Forest dated January 18, 2008, provided for a purchase promise from the CECAB cooperative for all the shares of the two minority shareholders, Unigrains and Sofipar, no later than March 19, 2013. In this context, on December 21, 2010, the CECAB group communicated two buyback offers to Unigrains on one hand, and to Sofipar on the other, concerning the entirety of their respective participation in the capital of Financière du Forest. On January 4, 2011, Unigrains accepted the buyback offer for its 2,400 shares. On January 6, 2011, Sofipar accepted the buyback offer for its 1,800 shares. The two share transfer orders were executed on February 24, 2011. It should therefore be considered that these operations, resulting from a single agreement and organized concurrently by the parties, constitute a single operation.</w:t>
      </w:r>
    </w:p>
    <w:p>
      <w:r>
        <w:t>13. After the operation, the CECAB group will hold, via the CECAB cooperative, 51% of the capital and voting rights of the Gad group. According to the voting modalities provided by the statutes, the CECAB group will hold the majority of votes at ordinary general meetings deciding by simple majority on the main strategic decisions of the company. The members of the management board are appointed by the members of the supervisory board, who are themselves chosen by the shareholders at the ordinary general meeting and can be revoked at any time. Decisions made at extraordinary general meetings, requiring a two-thirds majority, do not exceed what is usually granted to minority shareholders for the protection of their financial interests.</w:t>
      </w:r>
    </w:p>
    <w:p>
      <w:r>
        <w:t>14. However, it is necessary to examine whether the Prestor cooperative (hereinafter "Prestor"), holding 49% of the capital, will be able to exert a decisive influence on the company due to the reduction in the number of shareholders and its position as the main supplier of the target.</w:t>
      </w:r>
    </w:p>
    <w:p>
      <w:r>
        <w:t>15. However, the divergences between Prestor and the CECAB group, [Confidential], do not suggest that there could be a community of interest allowing for joint control of the target even considering Prestor's position as the primary supplier of the target. [Confidential].</w:t>
      </w:r>
    </w:p>
    <w:p>
      <w:r>
        <w:t>16. Furthermore, the notifying party emphasizes that the supply relationships between Prestor and the Gad group, which are not subject to any written agreement, would, in the event of a sudden break, be governed by Article L. 442-6 of the Commercial Code, which provides that a minimum notice period must be respected. The notifying party believes that this period would be sufficient for the Gad group to reorganize its supply and that the hypothesis of a supply disruption from Prestor appears very unrealistic, as the member breeders of the Prestor cooperative have a strong need for securing their outlets, inherent to the breeding activity.</w:t>
      </w:r>
    </w:p>
    <w:p>
      <w:r>
        <w:t>17. In light of the above elements, Prestor's position in the market for the supply of live pigs, particularly in the collection areas of the Gad group, and within the capital of the company Financière du Forest, is not such as to confer it joint control with the CECAB group.</w:t>
      </w:r>
    </w:p>
    <w:p>
      <w:r>
        <w:t>18. The present operation thus constitutes an acquisition of exclusive control of the company Financière du Forest by the CECAB group and constitutes a concentration within the meaning of Article L. 430-1 of the Commercial Code.</w:t>
      </w:r>
    </w:p>
    <w:p>
      <w:r>
        <w:t>19. The companies concerned achieved together a consolidated worldwide turnover excluding taxes of more than 150 million euros in the last closed financial year (CECAB group: 1.147 billion euros in 2009; Financière du Forest: 595.6 million euros for the same financial year). Each of these companies achieved, in France, a turnover exceeding 50 million euros (CECAB group: […] million euros; Financière du Forest: […] million euros). Given these turnovers,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III. Delimitation of relevant markets</w:t>
        <w:br/>
        <w:t>20. The acquirer and the target are not present in the same markets, so the operation does not entail any overlap of activities. However, given the presence of the CECAB group in numerous agri-food processing markets, some of which are downstream from those of the target, or likely to have connections with them, it is necessary to delineate these markets in terms of potential vertical and conglomerate effects of the operation.</w:t>
      </w:r>
    </w:p>
    <w:p>
      <w:r>
        <w:t>21. The Gad and CECAB groups are active in different animal processing markets (A). The CECAB group is also solely present, downstream, in the pet food market (B) and in other agri-food markets that may have potential connections with those of the target (C).</w:t>
      </w:r>
    </w:p>
    <w:p>
      <w:r>
        <w:t>A. MARKETS FOR SLAUGHTERING ANIMALS AND MEAT PROCESSING</w:t>
        <w:br/>
        <w:t>22. The decision-making practice distinguishes four stages of meat processing corresponding to the treatment cycle of the animal from upstream to downstream.</w:t>
      </w:r>
    </w:p>
    <w:p>
      <w:r>
        <w:t>1. MARKETS FOR FIRST PROCESSING</w:t>
        <w:br/>
        <w:t>a) Product markets</w:t>
        <w:br/>
        <w:t>23. The first processing corresponds to the slaughtering of the animal, resulting in carcasses and by-products.</w:t>
      </w:r>
    </w:p>
    <w:p>
      <w:r>
        <w:t>24. The markets for the collection of live animals for slaughter are segmented by species by national and Community competition authorities, with slaughtering equipment being specific for each type of animal. Within certain species, finer segmentations have been considered, such as between pigs and sows, as their meat is not intended for the same use.</w:t>
      </w:r>
    </w:p>
    <w:p>
      <w:r>
        <w:t>25. The market for carcasses is also segmented according to the type of animal from which the carcass originates. It has been considered to segment this market by the size or origin of the animal, particularly in the case of cattle, or according to the distribution channel (large and medium-sized stores (hereinafter "GMS"), agri-food industry (hereinafter "IAA"), artisanal butchers-charcuteries (hereinafter "BCA"), and out-of-home catering (hereinafter "RHD")).</w:t>
      </w:r>
    </w:p>
    <w:p>
      <w:r>
        <w:t>26. The decision-making practice of Community and national competition authorities has also identified a market for by-products from slaughter, whether edible or not (offal, blood, pituitary gland, etc.). The national practice has considered segmenting this market by types of by-products. The European Commission has distinguished the market for slaughter by-products unfit for human consumption, which are themselves segmented by type of by-products, and the slaughter by-products fit for human and animal consumption as well as for pharmaceutical uses, which are themselves segmented by type of by-products.</w:t>
      </w:r>
    </w:p>
    <w:p>
      <w:r>
        <w:t>27. In this case, the analysis remains unchanged regardless of the hypotheses retained, and there is no need to specify the exact delimitation of these markets.</w:t>
      </w:r>
    </w:p>
    <w:p>
      <w:r>
        <w:t>28. At the stage of first processing, the Gad group is active in the markets for the collection of animals for slaughter (pigs and, to a lesser extent, cattle, calves, and lambs), the sale of their carcasses, and the by-products resulting from their slaughter.</w:t>
      </w:r>
    </w:p>
    <w:p>
      <w:r>
        <w:t>29. The CECAB group is present in the markets for the collection of turkeys for slaughter and the sale of their carcasses for cutting. It is also active in the collection of cattle and calves for slaughter, but this activity does not entail geographical overlaps given the respective locations of the Gad and CECAB groups in these markets.</w:t>
      </w:r>
    </w:p>
    <w:p>
      <w:r>
        <w:t>b) Geographical markets</w:t>
        <w:br/>
        <w:t>30. The geographical delimitations of the markets for the collection of live animals for slaughter vary by species but are most often of a local dimension.</w:t>
      </w:r>
    </w:p>
    <w:p>
      <w:r>
        <w:rPr>
          <w:b/>
        </w:rPr>
        <w:t>[Pages 7–9]</w:t>
      </w:r>
    </w:p>
    <w:p>
      <w:r>
        <w:t>regional, resulting from regulatory constraints related to animal welfare and the significance of transportation costs.</w:t>
      </w:r>
    </w:p>
    <w:p>
      <w:r>
        <w:t>31. The decision-making practice of Community and national competition authorities considers that the markets for carcasses and by-products, as well as their possible segmentations, are at least of national dimension.</w:t>
      </w:r>
    </w:p>
    <w:p>
      <w:r>
        <w:t>2. MARKETS OF THE SECOND AND THIRD PROCESSING</w:t>
        <w:br/>
        <w:t>a) Product markets</w:t>
        <w:br/>
        <w:t>32. The second processing includes the deboning of meat and the cutting of carcasses sold to different types of customers (GMS, IAA for example), who will carry out further processing of this merchandise for sale presentation. The third processing consists of packaging ready-to-cook meat intended for the final consumer.</w:t>
      </w:r>
    </w:p>
    <w:p>
      <w:r>
        <w:t>33. The decision-making practice distinguishes sales of meat resulting from the second and third processing on the one hand, and according to the different animal species from which they originate on the other hand. In the sole sector of pork meat, the decision-making practice has considered a market for fresh meat encompassing the second and third processing.</w:t>
      </w:r>
    </w:p>
    <w:p>
      <w:r>
        <w:t>34. The national decision-making practice has also considered segmenting sales of meat resulting from the second processing based on the different distribution channels served (GMS, IAA, RHD, and BCA).</w:t>
      </w:r>
    </w:p>
    <w:p>
      <w:r>
        <w:t>35. In this case, only the target markets fresh pork meat, and to a more marginal extent, meat resulting from the second and third processing of cattle, calves, and sheep (lambs only).</w:t>
      </w:r>
    </w:p>
    <w:p>
      <w:r>
        <w:t>a) Geographic markets</w:t>
        <w:br/>
        <w:t>36. The Community decision-making practice has considered that the markets for fresh meat (second and third processing) are of national dimension. However, it has also noted the trend towards increasing transnational trade flows, which would suggest a geographical dimension of these markets broader than national.</w:t>
      </w:r>
    </w:p>
    <w:p>
      <w:r>
        <w:t>37. In this case, the analysis will be conducted at the national level. The question of the geographical dimension of these markets may remain open, as the conclusions of the competitive analysis will remain unchanged regardless of the hypothesis adopted.</w:t>
      </w:r>
    </w:p>
    <w:p>
      <w:r>
        <w:t>3. MARKETS OF THE FOURTH PROCESSING</w:t>
        <w:br/>
        <w:t>a) Product markets</w:t>
        <w:br/>
        <w:t>38. The fourth processing corresponds to the manufacturing of processed products based on meat. The decision-making practice of competition authorities segments the market of processed meat products according to whether they are based on poultry, beef, or pork.</w:t>
      </w:r>
    </w:p>
    <w:p>
      <w:r>
        <w:t>39. In the present case, only the Gad group is active at this stage of meat processing, in the market of processed pork products, which is itself divided between charcuterie-salting products and catering products. The Gad group exclusively markets charcuterie-salting products based on pork.</w:t>
      </w:r>
    </w:p>
    <w:p>
      <w:r>
        <w:t>40. The decision-making practice refers to several criteria to segment the markets of charcuterie-salting products: the family to which the product belongs, the distribution channel, the mode of distribution (self-service or cut-to-order), and the positioning of the products.</w:t>
      </w:r>
    </w:p>
    <w:p>
      <w:r>
        <w:t>41. Regarding segmentation by product family, INSEE, the Ministry of Agriculture, and the French Federation of Charcuterie, Catering, and Meat Processing Industries (hereinafter "FICT") use a nomenclature that distinguishes twenty-three product families grouped according to their mode of preparation (raw or cooked), the technology employed (salting, drying, smoking, cooking, canning, freezing), and the nature of the meat used (pork, poultry, beef, game, etc.). This segmentation into twenty-three product families has been adopted by the national decision-making practice. The Gad group is present in five product families: salted, brined, dried, or smoked pork meats; other meats, offal, and salted, brined, dried, or smoked edibles; cooked hams, shoulders, and other pork meats; sausages and salamis other than liver sausages; and various pâtés and preparations based on meats.</w:t>
      </w:r>
    </w:p>
    <w:p>
      <w:r>
        <w:t>42. The market for charcuterie-salting products is also segmented according to the distribution channel to which these products are intended, including RHD, IAA, or GMS. Within sales to GMS and convenience stores, an additional segmentation has been considered between self-service sales (pre-sliced products) and cut-to-order sales.</w:t>
      </w:r>
    </w:p>
    <w:p>
      <w:r>
        <w:t>43. Finally, regarding the commercial positioning of the products, for the charcuterie-salting offered to final customers by GMS and convenience stores, an additional segmentation can be made between, on the one hand, manufacturer brands (MDF) and, on the other hand, distributor brands (MDD), low-cost brands (MPP), and hard discount brands (MHD).</w:t>
      </w:r>
    </w:p>
    <w:p>
      <w:r>
        <w:t>44. In this case, only the Gad group is active at this stage of meat processing. The question of the exact delineation of these different markets may be left open as the conclusions of the competitive analysis will remain unchanged regardless of the segmentations adopted.</w:t>
      </w:r>
    </w:p>
    <w:p>
      <w:r>
        <w:t>a) Geographic markets</w:t>
        <w:br/>
        <w:t>45. A national delineation of the market for charcuterie-salting products is generally retained by competition authorities.</w:t>
      </w:r>
    </w:p>
    <w:p>
      <w:r>
        <w:t>B. MARKETS FOR PET FOOD</w:t>
        <w:br/>
        <w:t>46. Only the CECAB group is present in the animal nutrition markets, particularly in the manufacturing of pet food. This activity uses among its inputs certain by-products from the slaughter of animals such as blood, product markets on which the target is present. It is therefore necessary to delineate the market for pet food, the only market likely to be affected by potential vertical effects of the operation.</w:t>
      </w:r>
    </w:p>
    <w:p>
      <w:r>
        <w:t>a) Product markets</w:t>
        <w:br/>
        <w:t>47. In terms of food for pets, the decision-making practice retains a segmentation by species, between dogs and cats, as well as, according to the consistency of the food, between kibble and wet food. A segmentation according to the distribution channel and the commercial positioning of the product has also been considered.</w:t>
      </w:r>
    </w:p>
    <w:p>
      <w:r>
        <w:t>48. The question of the exact definition of these markets may remain open as the analysis will remain unchanged regardless of the hypotheses adopted.</w:t>
      </w:r>
    </w:p>
    <w:p>
      <w:r>
        <w:t>49. In this case, the CECAB group is present in the markets for wet food for dogs and cats sold to GMS under MDD/MPP.</w:t>
      </w:r>
    </w:p>
    <w:p>
      <w:r>
        <w:t>a) Geographic markets</w:t>
        <w:br/>
        <w:t>50. The decision-making practice retains a national delineation for the market for pet food.</w:t>
      </w:r>
    </w:p>
    <w:p>
      <w:r>
        <w:rPr>
          <w:b/>
        </w:rPr>
        <w:t>[Pages 10–12]</w:t>
      </w:r>
    </w:p>
    <w:p>
      <w:r>
        <w:t>C. OTHER AGRI-FOOD MARKETS CONCERNED</w:t>
        <w:br/>
        <w:t>51. The CECAB group is present in other markets that may have connectivity links with those of the target, including:</w:t>
        <w:br/>
        <w:t>- The market for the production and marketing of eggs and egg products, for which the geographical delimitation retained by the competition authorities is at least national, if not European. Finer segmentations have been considered based on species (quails, hens, etc.), based on their characteristics (caged hen eggs, free-range hen eggs, organic eggs, etc.), and based on the distribution channel for these eggs (GMS, IAA, and RHF), with a possible distinction between dry egg products and liquid egg products for products intended for IAA. The parties believe that it is appropriate to distinguish shell eggs from egg products.</w:t>
        <w:br/>
        <w:t>- The national market for the marketing of processed egg products as proposed by the notifying party, this market having never been examined by decision-making practice. It would encompass the marketing of a range of products such as omelets, peeled hard-boiled eggs, tortillas, whipped egg whites, scrambled eggs, fried eggs, poached eggs, hard-boiled eggs in bars, and omelets in cubes or strips. The notifying party proposes to segment this market by distribution channel (IAA, GMS, RHD). A potential national market for the marketing of processed egg products by distribution channel will be examined as part of the conglomerate analysis without the need, in this case, to conclude on the existence of such a market.</w:t>
        <w:br/>
        <w:t>- The national market for the marketing of canned vegetables (2nd range) distinguished by decision-making practice from that of fresh vegetables (1st range) or frozen vegetables (3rd range). Segmentations have also been considered based on the distribution channel and the commercial positioning of the product. In terms of food products, both national and Community competition authorities consistently consider that markets are of national dimension.</w:t>
        <w:br/>
        <w:t>- The market for the marketing of consumption potatoes (1st range). Given the low volumes marketed by the CECAB group, there is no need to delimit this market more precisely and to analyze it specifically for potential conglomerate effects.</w:t>
        <w:br/>
        <w:t>- The national market for the marketing of canned prepared dishes distinguished by the practice from the market for dehydrated, fresh, or frozen prepared dishes. As with most food products, segmentations have also been considered based on the distribution channel for these products (GMS, RHF), the recipes used corresponding to a geographical determination (French, Italian, exotic), and the commercial positioning of the product in particular.</w:t>
        <w:br/>
        <w:t>52. In the present case, the exact definitions of these markets and their various segmentations can, however, be left open as the conclusions of the analysis will remain unchanged regardless of the delimitations retained.</w:t>
      </w:r>
    </w:p>
    <w:p>
      <w:r>
        <w:t>IV. Competitive Analysis</w:t>
        <w:br/>
        <w:t>53. In the absence of overlap between the activities of the parties, any horizontal effect can be ruled out. Only vertical and conglomerate effects will therefore be analyzed.</w:t>
        <w:br/>
        <w:t>A. ANALYSIS OF VERTICAL EFFECTS</w:t>
        <w:br/>
        <w:t>54. The Gad group markets on the national market offal and co-products from the slaughter of animals (mainly pigs), suitable for human and animal consumption, which enter into the manufacture of pet food (hemoglobin, plasma, blood, tripe products, bone meal, and bone fat). Since the CECAB group is a producer of wet food for pets, it is necessary to ensure that the operation does not foreclose access for competing animal feed producers to certain of their inputs or restrict the outlets for producers of co-products from the slaughter of animals.</w:t>
        <w:br/>
        <w:t>55. In the absence of available statistics by type of co-products, the notifying party estimated the position of the Gad group in the overall market for co-products suitable for human consumption, animal consumption, and pharmaceutical uses based on its position in the national market for pig slaughter, a species that supplied, in 2009, 21% of the national production of animal by-products declared safe for human and animal consumption. This market share would be less than 2.5% of the French market for co-products suitable for human consumption, animal consumption, and pharmaceutical uses. Such a position is not likely to allow the new entity to foreclose its competitors' access to the pet food market for their inputs, given that Gad only generates 2.7% of its turnover from co-products with pet food manufacturers. The stability of the proportions of raw materials from slaughter does not suggest that the situation would be different if the analysis were conducted by type of co-products. Furthermore, the Gad group only supplies inputs from pig co-products, whereas the parties emphasize that, from the perspective of the pet food industry, it is necessary to consider the overall market for animal proteins.</w:t>
        <w:br/>
        <w:t>56. Downstream, the CECAB group is only present in the market for the sale of wet food for dogs and cats in GMS, marketed under private labels, where it represents [20-30]% (dogs) and [20-30]% (cats) of the market. Prior to the operation, the CECAB group only marginally sourced co-products from the target, and its purchases represent less than 0.01% of the turnover generated by the Gad group in co-products. In the event that the CECAB group were to consider sourcing more heavily from the target for certain of its purchases (hemoglobin, plasma, blood, tripe products, bone meal, and bone fat), such a strategy would have only a limited effect on the market for animal co-product producers, as they have numerous alternative outlets including human consumption, pharmaceutical uses, or the oleochemical industry in particular. For example, the Gad group dedicates more than 60% of its production to uses other than animal feed, and these represent more than 90% of its turnover. Moreover, it seems even less likely that the CECAB group could source solely from Gad, as its needs are broader than just pig-derived co-products.</w:t>
        <w:br/>
        <w:t>57. Consequently, the operation is not likely to harm competition through vertical effects.</w:t>
        <w:br/>
        <w:t>B. ANALYSIS OF CONGLOMERATE EFFECTS</w:t>
        <w:br/>
        <w:t>58. A concentration operation has conglomerate effects when the new entity extends or strengthens its presence in several markets whose connectivity may allow it to increase its market power.</w:t>
        <w:br/>
        <w:t>59. In the various meat markets concerned by the operation, it should be noted that the CECAB and Gad groups operate on different animal species, at distinct stages of their processing. However, decision-making practice generally considers that potential range effects are more significant among products from the same animal species. Furthermore, in the present case, as the parties have market shares below 20% in all meat markets with connectivity links, the risk of harming competition through the implementation of range effects can be ruled out in these markets.</w:t>
        <w:br/>
        <w:t>60. If we consider all other agri-food markets segmented by distribution channel, we find that the operation results in broadening the range of food products that the CECAB group can offer to the RHF and GMS, the only distribution channels where the CECAB group holds positions approaching 30% market share.</w:t>
        <w:br/>
        <w:t>61. Prior to the operation, the CECAB group is a significant supplier to the RHF in the markets for egg products ([20-30]%), processed egg products ([30-40]%), and canned vegetables ([20-30%]) sold to the RHF. By acquiring the Gad group, the CECAB group will also become a supplier of fresh pork meat and charcuterie products in this distribution channel, respectively at [10-20]% and [0-5]% in the market segment for salted, brined, dried, or smoked pork meats.</w:t>
        <w:br/>
        <w:t>62. In the GMS segment, the CECAB group is a significant supplier of wet food for dogs ([20-30]%) and cats ([20-30]%) sold under private labels and canned vegetables ([20-30]%). After the operation, the CECAB group will also be present in the market for fresh pork meat ([10-20]%) and charcuterie products in the family of salted, brined, dried, or smoked pork meats ([10-20]%) sold in GMS.</w:t>
        <w:br/>
        <w:t>63. However, the investigation did not identify strong complementarities between these different products for which the new entity will have a significant market share. The logistics and timing of contractual negotiations differ depending on whether they involve fresh or canned products, meats or vegetables, making the establishment of range effects or tied sales between these different products unlikely. Furthermore, the few common customers of the parties to the operation, both in RHF ([Confidential]) and among GMS ([Confidential]), are sufficiently powerful to counter such effects and potentially diversify their sourcing across the different families of products concerned.</w:t>
      </w:r>
    </w:p>
    <w:p>
      <w:r>
        <w:rPr>
          <w:b/>
        </w:rPr>
        <w:t>[Pages 13–13]</w:t>
      </w:r>
    </w:p>
    <w:p>
      <w:r>
        <w:t>64. Finally, the operation does not allow the CECAB group to enrich its brand portfolio, as the few brands of the Gad group (Aubret, Binic Gastronomie, etc.) cannot be considered well-known in markets characterized by a great diversity of brands with strong recognition (Herta, Madrange, Fleury Michon, Paul Predault, etc.).</w:t>
      </w:r>
    </w:p>
    <w:p>
      <w:r>
        <w:t>65. Consequently, the operation is not likely to harm competition through conglomerate effects.</w:t>
      </w:r>
    </w:p>
    <w:p>
      <w:r>
        <w:t>DECIDES</w:t>
        <w:br/>
        <w:t>Sole Article: The operation notified under number 11-0041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