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https://www.autoritedelaconcurrence.fr/fr/decision-de-controle-des-concentrations/relative-la-prise-de-controle-exclusif-de-la-societe-370</w:t>
      </w:r>
    </w:p>
    <w:p>
      <w:r>
        <w:t>Pages translated : 2</w:t>
      </w:r>
    </w:p>
    <w:p/>
    <w:p>
      <w:r>
        <w:rPr>
          <w:b/>
        </w:rPr>
        <w:t>[Pages 1–2]</w:t>
      </w:r>
    </w:p>
    <w:p>
      <w:r>
        <w:t xml:space="preserve">FRENCH REPUBLIC  </w:t>
        <w:br/>
        <w:t xml:space="preserve">Decision No. 22-DCC-179 of September 27, 2022  </w:t>
        <w:br/>
        <w:t xml:space="preserve">regarding the exclusive control acquisition of the company Monoprix Online  </w:t>
        <w:br/>
        <w:t xml:space="preserve">by the Beaumanoir group  </w:t>
        <w:br/>
        <w:t xml:space="preserve">The Competition Authority,  </w:t>
        <w:br/>
        <w:t xml:space="preserve">Having regard to the notification file submitted in full to the mergers department on September 8, 2022,  </w:t>
        <w:br/>
        <w:t xml:space="preserve">concerning the acquisition of control of the company Monoprix Online by the company CCV Beaumanoir,  </w:t>
        <w:br/>
        <w:t xml:space="preserve">a subsidiary of the Beaumanoir group, formalized by a purchase promise dated July 27,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Beaumanoir group of the  </w:t>
        <w:br/>
        <w:t xml:space="preserve">company Monoprix Online, active via the website Sarenza.com in the online sale of ready-to-wear and shoes.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1 Prior to the operation, the activity of the website Monoprix.fr, also operated by the company Monoprix Online, will have been transferred to another entity of the Monoprix group. At the time of the operation, Monoprix Online will thus only operate the Sarenza.com website.</w:t>
      </w:r>
    </w:p>
    <w:p>
      <w:r>
        <w:t xml:space="preserve">DECIDES  </w:t>
        <w:br/>
        <w:t xml:space="preserve">Sole Article: The operation notified under number 22-197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