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https://www.autoritedelaconcurrence.fr/fr/decision-de-controle-des-concentrations/relative-la-prise-de-controle-exclusif-de-la-societe-371</w:t>
      </w:r>
    </w:p>
    <w:p>
      <w:r>
        <w:t>Pages translated : 37</w:t>
      </w:r>
    </w:p>
    <w:p/>
    <w:p>
      <w:r>
        <w:rPr>
          <w:b/>
        </w:rPr>
        <w:t>[Pages 1–3]</w:t>
      </w:r>
    </w:p>
    <w:p>
      <w:r>
        <w:t>FRENCH REPUBLIC</w:t>
        <w:br/>
        <w:t>Decision No. 22-DCC-186 of September 30, 2022</w:t>
        <w:br/>
        <w:t>regarding the exclusive control of McKesson Europe by the Phoenix Group</w:t>
        <w:br/>
        <w:t>The Competition Authority,</w:t>
        <w:br/>
        <w:t>Having regard to the notification file submitted to the European Commission on February 9, 2022, and received by the Competition Authority on February 10, 2022, concerning the exclusive control of certain European activities of McKesson Europe by the Phoenix Group, formalized by a purchase option contract dated July 5, 2021;</w:t>
        <w:br/>
        <w:t>Having regard to the referral decision of the European Commission dated March 30, 2022, pursuant to Article 9 of Council Regulation (EC) No. 139/2004, following the referral request submitted by the Competition Authority on February 23, 2022;</w:t>
        <w:br/>
        <w:t>Having regard to Book IV of the Commercial Code relating to price freedom and competition, and in particular Articles L. 430-1 to L. 430-7;</w:t>
        <w:br/>
        <w:t>Having regard to the commitments submitted on September 23, 2022, by the notifying party;</w:t>
        <w:br/>
        <w:t>Having regard to the additional elements transmitted by the notifying party during the investigation;</w:t>
        <w:br/>
        <w:t>Having regard to the other documents in the file;</w:t>
        <w:br/>
        <w:t>Adopts the following decision:</w:t>
      </w:r>
    </w:p>
    <w:p>
      <w:r>
        <w:t>Summary1</w:t>
        <w:br/>
        <w:t>By this decision, the Authority examined the exclusive control of McKesson Europe, owner of OCP Répartition, by the German group Phoenix, following the referral decision by the European Commission regarding the examination of the effects of the operation in France.</w:t>
        <w:br/>
        <w:t>In France, McKesson Europe primarily engages in wholesale distribution through its local subsidiary OCP Répartition, which has 39 depots spread across the entire national territory. Phoenix, for its part, conducts its wholesale distribution activities through 20 depots. Given the activities of the parties, the Authority examined the horizontal effects of the operation on the wholesale distribution sector of pharmaceutical products.</w:t>
        <w:br/>
        <w:t>The Authority confirms the existence of a specific market for pharmaceutical distribution, an activity whereby a wholesale distributor purchases medicines in bulk from pharmaceutical laboratories to subsequently resell them to pharmacies, which are responsible for supplying the patient. This market is confined to so-called "full-liner" wholesale distributors and does not include deliveries directly made by laboratories to pharmacies.</w:t>
        <w:br/>
        <w:t>Regarding the geographical delimitation, the Authority considered that the market exhibited both national and local characteristics, which justified conducting an analysis at both levels. To analyze the operation at the local level, the Authority deemed it appropriate to rely on the actual footprints of the parties' depots.</w:t>
        <w:br/>
        <w:t>At the national level, the results of the market tests conducted with competitors and pharmacy groups led to the conclusion of the absence of horizontal effects from the operation.</w:t>
        <w:br/>
        <w:t>At the local level, an analysis was conducted on the 59 catchment areas representing the actual footprints of the 59 depots belonging to the parties, taking into account the market share of the new entity, the legal and regulatory context governing the margins received by wholesalers and setting the prices of medicines, the importance of the countervailing power of demand exercised by pharmacy groups, as well as the presence of several other operators.</w:t>
        <w:br/>
        <w:t>The Authority thoroughly examined the situation in 23 local areas where the market share of the new entity will be between 40% and 49%. For all these areas, any risk could be ruled out in light of the presence of sufficient competition from the operators present.</w:t>
        <w:br/>
        <w:t>The Authority also conducted a thorough analysis of the 16 local areas in which the market share of the new entity will exceed 50%. For 15 of these areas, the Authority observed that a large majority of the pharmacies served by the parties were members of pharmacy groups with national or multi-regional presence. Under these conditions, since the commercial terms are negotiated with these groups at the national or multi-regional level for their members, the market power of the new entity in the area around the depot would not allow it to impose a deterioration of commercial conditions for the client members of these groups present in these 15 areas. Furthermore, the new entity would not be incentivized to deteriorate the commercial conditions for the very small proportion of clients who are not affiliated with these groups, as they still have credible alternatives to the services of the new entity in the area. Under these conditions, the operation is not likely to lead to anti-competitive risks in these 15 local areas.</w:t>
        <w:br/>
        <w:t>However, the Authority considered that these factors did not exclude the risk of deterioration of commercial conditions for pharmacies located in the Saint-Étienne area. In this area, the operation was likely to dampen competitive dynamics given the position of the new entity following the operation, the weak position of the competitors present, and the absence of countervailing power from pharmacy groups.</w:t>
        <w:br/>
        <w:t>To remedy the identified risks, Phoenix committed to allowing regional groups whose members are served by the OCP and Phoenix depots in the Saint-Étienne area to terminate their contracts with the new entity without costs or penalties by December 31, 2022. It also committed that beyond January 1, 2023, and for 5 years, any contract binding these groups to the new entity would expressly provide that the groups could exit the contractual relationship at any time without costs and without penalties.</w:t>
        <w:br/>
        <w:t>The proposed commitments being capable of addressing the expressed concerns, the Authority authorized the operation subject to conditions.</w:t>
        <w:br/>
        <w:t>1 This summary is strictly informative. Only the reasons for the decision numbered below are authoritative.</w:t>
      </w:r>
    </w:p>
    <w:p>
      <w:r>
        <w:rPr>
          <w:b/>
        </w:rPr>
        <w:t>[Pages 4–6]</w:t>
      </w:r>
    </w:p>
    <w:p>
      <w:r>
        <w:t>SYNOPSIS</w:t>
        <w:br/>
        <w:t>I. THE COMPANIES CONCERNED AND THE OPERATION .............. 6</w:t>
        <w:br/>
        <w:t>A. THE PARTIES .................................................................................................................6</w:t>
        <w:br/>
        <w:t>B. THE OPERATION ...............................................................................................................6</w:t>
        <w:br/>
        <w:t>II. THE LEGAL AND REGULATORY CONTEXT ........................... 7</w:t>
        <w:br/>
        <w:t>A. THE DISTRIBUTION OF PHARMACEUTICAL PRODUCTS ..............................7</w:t>
        <w:br/>
        <w:t>B. THE REMUNERATION OF WHOLESALE DISTRIBUTORS .....................................9</w:t>
        <w:br/>
        <w:t>III. DELIMITATION OF RELEVANT MARKETS ......................... 10</w:t>
        <w:br/>
        <w:t>A. DELIMITATION OF PRODUCT MARKETS .........................................................10</w:t>
        <w:br/>
        <w:t>1. ON THE DELIMITATION OF A MARKET SPECIFIC TO PHARMACEUTICAL</w:t>
        <w:br/>
        <w:t>DISTRIBUTION ..................................................................................................10</w:t>
        <w:br/>
        <w:t>a) Position of the notifying party ............................................................... 11</w:t>
        <w:br/>
        <w:t>b) Position of the Authority .............................................................................. 11</w:t>
        <w:br/>
        <w:t>2. ON THE DISTINCTION BETWEEN “FULL-LINERS” AND “SHORT-LINERS” .......................12</w:t>
        <w:br/>
        <w:t>a) Position of the notifying party ............................................................... 13</w:t>
        <w:br/>
        <w:t>b) Position of the Authority .............................................................................. 13</w:t>
        <w:br/>
        <w:t>3. ON THE DELIMITATION ACCORDING TO THE TYPE OF MEDICINES ..................................13</w:t>
        <w:br/>
        <w:t>B. DELIMITATION OF GEOGRAPHICAL MARKETS .......................................14</w:t>
        <w:br/>
        <w:t>a) Decision-making practice ............................................................................. 14</w:t>
        <w:br/>
        <w:t>b) Position of the notifying party ............................................................... 15</w:t>
        <w:br/>
        <w:t>c) Position of the Authority .............................................................................. 16</w:t>
        <w:br/>
        <w:t>On the existence of national and local characteristics ....................................16</w:t>
        <w:br/>
        <w:t>On the delimitation of local areas ...................................................................16</w:t>
        <w:br/>
        <w:t>IV. COMPETITIVE ANALYSIS .................................................... 18</w:t>
        <w:br/>
        <w:t>A. THE HORIZONTAL EFFECTS OF THE OPERATION ..............................................19</w:t>
        <w:br/>
        <w:t>1. THE CHARACTERISTICS OF THE MARKET ....................................................................19</w:t>
        <w:br/>
        <w:t>a) On the current regulation ................................................................. 19</w:t>
        <w:br/>
        <w:t>b) On the absence of barriers to competitor expansion .................. 20</w:t>
        <w:br/>
        <w:t>c) On the competitive pressure from direct sales .............................. 21</w:t>
        <w:br/>
        <w:t>d) On the countervailing power of demand ...................................................... 22</w:t>
        <w:br/>
        <w:t>e) Conclusion ................................................................................................ 23</w:t>
        <w:br/>
        <w:t>2. ASSESSMENT OF THE MARKET POWER OF THE NEW ENTITY ....................23</w:t>
        <w:br/>
        <w:t>a) At the national level .................................................................................. 23</w:t>
        <w:br/>
        <w:t>b) At the local level ........................................................................................ 24</w:t>
        <w:br/>
        <w:t>On the method of calculating local market shares .........................................24</w:t>
        <w:br/>
        <w:t>4</w:t>
      </w:r>
    </w:p>
    <w:p>
      <w:r>
        <w:t>Analysis of local areas .....................................................................................25</w:t>
        <w:br/>
        <w:t>c) Conclusion ................................................................................................ 32</w:t>
        <w:br/>
        <w:t>V. THE COMMITMENTS ......................................................................... 33</w:t>
        <w:br/>
        <w:t>A. THE PROPOSED COMMITMENTS ...........................................................................33</w:t>
        <w:br/>
        <w:t>B. ASSESSMENT OF THE PROPOSED COMMITMENTS .......................................34</w:t>
        <w:br/>
        <w:t>1. ON THE PRINCIPLES GUIDING THE ASSESSMENT OF THE PROPOSED</w:t>
        <w:br/>
        <w:t>COMMITMENTS .................................................................................................................34</w:t>
        <w:br/>
        <w:t>2. ON THE APPROPRIATENESS OF THE PROPOSED COMMITMENTS .........................34</w:t>
        <w:br/>
        <w:t>a) The divestiture commitment ........................................................................ 34</w:t>
        <w:br/>
        <w:t>b) The behavioral commitments ................................................................. 35</w:t>
        <w:br/>
        <w:t>DECIDES ......................................................................................................... 37</w:t>
        <w:br/>
        <w:t>5</w:t>
      </w:r>
    </w:p>
    <w:p>
      <w:r>
        <w:t>I. The Companies Concerned and the Operation</w:t>
        <w:br/>
        <w:t>A. THE PARTIES</w:t>
        <w:br/>
        <w:t>1. Phoenix Pharmahandel GmbH &amp; Co KG (hereinafter "Phoenix" or "the acquirer"), whose registered office is located in Mannheim (Germany), is a wholly-owned subsidiary of Phoenix Pharma SE, and operates as an integrated healthcare provider in Germany, France, and other European countries. Its main activity is the distribution of pharmaceutical products. To this end, it operates as a wholesale distributor with 161 depots and owns approximately 2,700 pharmacies in 14 European countries. In France, Phoenix primarily engages in wholesale distribution activities through 20 depots. It also owns a pharmacy group, Pharmavie. Phoenix also engages in pharmaceutical depositary activities for laboratories and a pharmaceutical purchasing center via Ivrylab.</w:t>
        <w:br/>
        <w:t>2. McKesson Europe (hereinafter "McKesson" or "the target") is ultimately controlled by McKesson Corporation. It is active in the distribution of pharmaceutical products. In this capacity, it supplies pharmaceutical and other health products to pharmacies in 12 European countries, including France. It operates 62 depots and 411 pharmacies in Europe. In France, McKesson primarily engages in wholesale distribution through its local subsidiary OCP Répartition, which has 39 depots spread across the entire national territory. Furthermore, McKesson owns the pharmacy groups Pharmactiv, Pharma Référence, and Réseau Santé, as well as the pharmaceutical purchasing center DépoTrade.</w:t>
        <w:br/>
        <w:t>B. THE OPERATION</w:t>
        <w:br/>
        <w:t>3. The operation concerns the exclusive control of part of McKesson's activities by Phoenix. In July 2021, the parties entered into an option agreement and a share purchase agreement under which Phoenix intends to acquire McKesson's activities in Belgium, France, Ireland, Italy, Portugal, and Slovenia, as well as certain activities in Germany and a shared services center in Lithuania2.</w:t>
        <w:br/>
        <w:t>4. Following the operation, the acquirer will indirectly hold 100% of the shares of the target, and McKesson will be a wholly-owned subsidiary of Phoenix3.</w:t>
        <w:br/>
        <w:t>5. As it results in the modification of the nature of the exclusive control exercised over McKesson, the notified operation constitutes a concentration within the meaning of Article 3 of Council Regulation (EC) No. 139/2004 of January 20, 2004, on the control of concentrations between undertakings.</w:t>
        <w:br/>
        <w:t>2 McKesson Corporation will retain its indirect subsidiaries in Austria, Denmark, Germany (except for Admenta Deutschland, Recuare, Recusana, and WZ GmbH), Norway, and the United Kingdom, which will be excluded from the scope of the operation.</w:t>
        <w:br/>
        <w:t>3 Phoenix will also acquire McKesson Group's 45% minority stake in the Dutch joint venture Brocacef, in which Phoenix is already a controlling shareholder with 55%, bringing its stake in this company to 100%.</w:t>
      </w:r>
    </w:p>
    <w:p>
      <w:r>
        <w:rPr>
          <w:b/>
        </w:rPr>
        <w:t>[Pages 7–9]</w:t>
      </w:r>
    </w:p>
    <w:p>
      <w:r>
        <w:t>6. The notified operation falls under the jurisdiction of the European Union pursuant to Article 1 of Regulation (EC) No. 139/2004 mentioned above. Indeed, the companies concerned generate a total worldwide turnover of more than 5 billion euros (Phoenix: [≥ 5 billion] euros for the fiscal year ending December 31, 2021; McKesson: [≥ 5 billion] euros for the fiscal year ending December 31, 2021). At least two of these companies have generated a turnover in the European Union exceeding 250 million euros (Phoenix: [≥ 250 million] euros for the fiscal year ending December 31, 2021; McKesson: [≥ 250 million] euros for the fiscal year ending December 31, 2021) without either of them generating more than two-thirds of their turnover in the European Union within a single Member State.</w:t>
      </w:r>
    </w:p>
    <w:p>
      <w:r>
        <w:t>7. The operation was notified on February 9, 2022, to the European Commission. By letter dated February 23, 2022, the Competition Authority requested the partial referral of the concentration project between the parties for examination under French competition law, in accordance with Article 9 of Regulation No. 139/2004 mentioned above, considering that the merger between these two players in pharmaceutical distribution in France was likely to raise competition concerns in the national market or the relevant local markets.</w:t>
      </w:r>
    </w:p>
    <w:p>
      <w:r>
        <w:t>8. By a decision of March 30, 2022, the European Commission considered that the conditions for a partial referral to the Competition Authority were met. The notified operation is therefore subject, for the part concerning France, to the French control of concentrations pursuant to IV of Article L. 430-2 of the Commercial Code.</w:t>
      </w:r>
    </w:p>
    <w:p>
      <w:r>
        <w:t>II. The Legal and Regulatory Context</w:t>
        <w:br/>
        <w:t>A. THE DISTRIBUTION OF PHARMACEUTICAL PRODUCTS</w:t>
      </w:r>
    </w:p>
    <w:p>
      <w:r>
        <w:t>9. The traditional distribution circuit for medicines, particularly reimbursable medicines (branded and generic), involves pharmaceutical laboratories and wholesale distributors.</w:t>
      </w:r>
    </w:p>
    <w:p>
      <w:r>
        <w:t>10. The wholesale distributor is defined in Article R.5124-2, 5° of the Public Health Code (CSP) as "the company engaged in the purchase and storage of medicines other than experimental medicines, for the purpose of their wholesale distribution in their current state." It purchases medicines in bulk from pharmaceutical laboratories, which deliver the medicines to it through depositaries. The wholesale distributor then resells the medicines to pharmacies, which are responsible for supplying the final consumer.</w:t>
      </w:r>
    </w:p>
    <w:p>
      <w:r>
        <w:t>11. Wholesale distributors are granted opening authorizations by the National Agency for the Safety of Medicines (hereinafter "ANSM"). In this capacity, they must declare to the Director General of the ANSM the territory on which each of their establishments carries out its distribution activities.</w:t>
      </w:r>
    </w:p>
    <w:p>
      <w:r>
        <w:t>12. Wholesale distributors are subject to specific public service obligations under which they must ensure "just-in-time" delivery to pharmacies and have a wide range of medicinal product references.</w:t>
      </w:r>
    </w:p>
    <w:p>
      <w:r>
        <w:t>13. These obligations are detailed in Article R.5124-59 of the CSP and include, for each establishment, within its declared distribution territory:</w:t>
        <w:br/>
        <w:t>- the obligation to have a range of medicines comprising at least nine-tenths of the presentations of pharmaceutical specialties actually marketed in France;</w:t>
        <w:br/>
        <w:t>- outside of Saturday after 2 p.m., Sunday, and public holidays:</w:t>
        <w:br/>
        <w:t xml:space="preserve">   the obligation to meet the consumption needs of its regular customers at all times for at least two weeks;</w:t>
        <w:br/>
        <w:t xml:space="preserve">   the obligation to deliver within twenty-four hours any order placed before Saturday 2 p.m. for any presentation of specialties actually marketed, except for medicines reserved for hospital use, medicinal plants, and homeopathic medicines;</w:t>
        <w:br/>
        <w:t>- on Saturday, from 2 p.m., as well as on Sunday and public holidays, the obligation to participate in an inter-company on-call system.</w:t>
      </w:r>
    </w:p>
    <w:p>
      <w:r>
        <w:t>14. In parallel to this distribution circuit involving wholesale distributors, there exists a direct sales circuit of products by pharmaceutical laboratories to pharmacies. The latter are delivered directly by depositaries acting on behalf of and for the account of the laboratory. These direct sales can concern both reimbursable and non-reimbursable medicines, as well as parapharmaceutical products.</w:t>
      </w:r>
    </w:p>
    <w:p>
      <w:r>
        <w:t>15. Non-reimbursable medicines and parapharmaceutical products can also be purchased and distributed through pharmaceutical purchasing centers (hereinafter "CAP"), which deal directly with pharmaceutical laboratories. The latter deliver to the CAP through depositaries. The CAP then redistributes the products to pharmacies.</w:t>
      </w:r>
    </w:p>
    <w:p>
      <w:r>
        <w:t>16. Several players may also intervene in the negotiation of group purchasing prices for medicines for pharmacists. This includes pharmacy groups, purchasing pooling structures (hereinafter "SRA"), and brokers.</w:t>
      </w:r>
    </w:p>
    <w:p>
      <w:r>
        <w:t>17. Pharmacy groups negotiate, on behalf of their pharmacist members, the purchase prices of medicines and other products with pharmaceutical laboratories and wholesale distributors. They may also offer services to their members such as website creation, IT service offerings, delivery service offerings, management services (IT, financial, accounting, etc.), or training.</w:t>
      </w:r>
    </w:p>
    <w:p>
      <w:r>
        <w:t>18. The following diagram illustrates the various distribution channels for medicines explained above:</w:t>
      </w:r>
    </w:p>
    <w:p>
      <w:r>
        <w:t>B. THE REMUNERATION OF WHOLESALE DISTRIBUTORS</w:t>
      </w:r>
    </w:p>
    <w:p>
      <w:r>
        <w:t>19. In France, regarding the price of medicines, a distinction must be made between non-reimbursable medicines and reimbursable medicines.</w:t>
      </w:r>
    </w:p>
    <w:p>
      <w:r>
        <w:t>20. For non-reimbursable medicines, the price is free and subject to the same principle of competition as any other consumer product. Manufacturers and distribution intermediaries, as well as pharmacists, can therefore freely set the price of these medicines, and their margins are not regulated.</w:t>
      </w:r>
    </w:p>
    <w:p>
      <w:r>
        <w:t>21. Conversely, for reimbursable medicines, whether branded or generic, the selling price is set by regulation after negotiation between pharmaceutical laboratories and public authorities. To this negotiated price ("Manufacturer's price excluding taxes" or "PFHT"), the distribution margins remunerating the wholesale distributor and the pharmacist are added, resulting in the public price excluding taxes ("Public price excluding taxes" or "PPHT").</w:t>
      </w:r>
    </w:p>
    <w:p>
      <w:r>
        <w:t>22. For these products, the distribution margin of wholesale distributors is set by regulation. The decree of August 4, 1987 regulates the minimum and maximum margin rates for wholesale distributors as well as the discount rates based on, among other things, the type of medicines (branded or generic). Wholesale distributors therefore purchase the products from laboratories at the PFHT, with possible discounts, to then resell them to pharmacies at the PFHT plus the level of the retained margin, this margin being defined as the regulated margin authorized possibly reduced by the discounts granted.</w:t>
      </w:r>
    </w:p>
    <w:p>
      <w:r>
        <w:rPr>
          <w:b/>
        </w:rPr>
        <w:t>[Pages 10–12]</w:t>
      </w:r>
    </w:p>
    <w:p>
      <w:r>
        <w:t>23. It follows from these various provisions that, with regard to reimbursed medications, which represent the majority of the value of medication supply for pharmacists in France in 2020, the variation in the margin level charged by wholesalers-distributors to pharmacies has no influence on the price paid by the final consumer but affects the level of margin received by pharmacists. The remuneration of these pharmacists is also subject to regulation.</w:t>
      </w:r>
    </w:p>
    <w:p>
      <w:r>
        <w:t>III. Delimitation of Relevant Markets</w:t>
        <w:br/>
        <w:t>In France, both parties are active in the pharmaceutical distribution sector as wholesalers-distributors.</w:t>
      </w:r>
    </w:p>
    <w:p>
      <w:r>
        <w:t>A. DELIMITATION OF PRODUCT MARKETS</w:t>
        <w:br/>
        <w:t>24. The consistent practice of competition authorities considers that the pharmaceutical distribution market is a distinct market. Furthermore, several segmentations of this market have been considered, notably according to the type of wholesaler-distributor or according to the type of medications.</w:t>
      </w:r>
    </w:p>
    <w:p>
      <w:r>
        <w:t>1. ON THE DELIMITATION OF A MARKET SPECIFIC TO PHARMACEUTICAL DISTRIBUTION</w:t>
        <w:br/>
        <w:t>12 See the opinion of the Competition Authority No. 19-A-08 cited above, points 1003 and following.</w:t>
        <w:br/>
        <w:t>13 The acquirer and the target also offer, through the pharmacy groups they own, ancillary services for the benefit of their members. The pharmacies that are members of the parties' groups represent [20-30]% in volume and value of all pharmacies that are members of a group in France. A significant number of other groups are active in France besides those of the parties. In the absence of any competition issues, this activity of the parties will not be subject to further examination in this decision. The parties also distribute private label products, such as nutritional preparations, pregnancy tests, blood pressure monitors, thermometers, hygiene products, compresses, and adhesive bandages, notably through their pharmacy groups. These private label products of the parties represent only [5-10]% of sales of private label health products in pharmacies in France. In the absence of any competition issues, this activity of the parties will not be subject to further examination in this decision. The acquirer also engages in depositary activities for pharmaceutical laboratories. In the absence of any overlap in activity with the target or any vertical or conglomerate link, this activity will not be examined in this decision.</w:t>
        <w:br/>
        <w:t>14 Decision No. 15-DCC-113 of August 25, 2015, regarding the exclusive control of IMJ Finance by Atrilux.</w:t>
        <w:br/>
        <w:t>15 See notably the letter from the Minister of Economy, Industry and Employment C2008-111 of November 20, 2008, cited above.</w:t>
      </w:r>
    </w:p>
    <w:p>
      <w:r>
        <w:t>25. The consistent practice of the Competition Authority and the Minister considers that the pharmaceutical distribution market is a distinct market. The European Commission has also recognized a market specific to pharmaceutical distribution. Furthermore, regarding Germany, it has considered that direct sales are not included in this market as pharmacists do not view direct sales as an effective means to quickly obtain the full variety of medications they need.</w:t>
      </w:r>
    </w:p>
    <w:p>
      <w:r>
        <w:t>a) Position of the Notifying Party</w:t>
        <w:br/>
        <w:t>26. The notifying party challenges this decisional practice by arguing that direct sales and sales made by other intermediaries such as CAP fall within the same market as sales made by wholesalers-distributors. According to it, there is a high degree of substitution between the different sales channels.</w:t>
      </w:r>
    </w:p>
    <w:p>
      <w:r>
        <w:t>27. It emphasizes in this regard that direct sales are significant in France, contrary to the situation in Germany, particularly for the following reasons: (i) the possibility for the French pharmacist to replace branded medications with a generic product containing the same active ingredient, which has strengthened the interest in a direct relationship between pharmacies and generic manufacturers, and (ii) the establishment of a minimum reseller margin, which has "encouraged manufacturers to distribute their low-cost, high-turnover products themselves."</w:t>
      </w:r>
    </w:p>
    <w:p>
      <w:r>
        <w:t>28. Regarding CAP, the notifying party indicates that even though these intermediaries primarily sell non-reimbursed medications and parapharmacy products, they often belong to wholesalers-distributors, so their activities are intertwined and can only be considered within a global market.</w:t>
      </w:r>
    </w:p>
    <w:p>
      <w:r>
        <w:t>29. It finally notes that pharmacies view direct sales and sales via CAP as alternative sources of supply.</w:t>
      </w:r>
    </w:p>
    <w:p>
      <w:r>
        <w:t>b) Position of the Authority</w:t>
        <w:br/>
        <w:t>30. It emerges from the Authority's investigation that wholesalers-distributors provide an intermediation service to laboratories and pharmacists with specific characteristics, distinguishing it from direct sales by laboratories. Given their public service obligations, wholesalers-distributors are able to offer the full range of medications to pharmacists within a very short timeframe. They deliver to their clients at least once or twice a day. Pharmaceutical laboratories, which are not bound by these obligations, cannot provide such a service to pharmacists. Deliveries from each laboratory are irregular and can only cover a limited variety of medications (those produced by the laboratory). They also impose purchase volumes.</w:t>
      </w:r>
    </w:p>
    <w:p>
      <w:r>
        <w:t>31. Furthermore, according to responses obtained during the market test addressed to competitors and information provided during hearings, the competitors of the parties consider that direct sales can only satisfy a limited proportion of pharmacists' demand. The European Commission notes in this regard, in its aforementioned referral decision, that it emerges from the market test conducted with pharmacists that while the majority of them rely on direct sales for a large proportion of their OTC medications and parapharmacy products, they resort to these same direct sales for less than 10% of their needs for reimbursable medications. The responses from pharmacies are also inconclusive regarding whether this proportion could increase in the future.</w:t>
      </w:r>
    </w:p>
    <w:p>
      <w:r>
        <w:t>32. All of these findings also apply to distribution via CAP, which only concerns non-reimbursed medications and parapharmacy products.</w:t>
      </w:r>
    </w:p>
    <w:p>
      <w:r>
        <w:t>33. It follows from the above that direct sales and sales via CAP are excluded from the pharmaceutical distribution market.</w:t>
      </w:r>
    </w:p>
    <w:p>
      <w:r>
        <w:t>2. ON THE DISTINCTION BETWEEN "FULL-LINERS" AND "SHORT-LINERS"</w:t>
        <w:br/>
        <w:t>34. Short-liners are wholesalers-distributors that offer only a limited range of medications, often the most profitable, to a limited number of pharmacies to which they sell large quantities, and that also prioritize export. In contrast, full-liners offer a complete range, namely conventional and frequent delivery (several times a day) of all products at legally authorized prices. However, both categories of actors fall under the status of wholesaler-distributor granted by the ANSM.</w:t>
      </w:r>
    </w:p>
    <w:p>
      <w:r>
        <w:t>35. National decisional practice has considered a distinction between wholesale distribution by full-liners and that by short-liners while leaving the market delimitation open.</w:t>
      </w:r>
    </w:p>
    <w:p>
      <w:r>
        <w:t>36. In its previous decisions, the Commission identified a "full-line" distribution market in Germany. For other countries, it has considered the existence of distinct segments while leaving the question open.</w:t>
      </w:r>
    </w:p>
    <w:p>
      <w:r>
        <w:rPr>
          <w:b/>
        </w:rPr>
        <w:t>[Pages 13–15]</w:t>
      </w:r>
    </w:p>
    <w:p>
      <w:r>
        <w:t>a) Position of the Notifying Party</w:t>
        <w:br/>
        <w:t>37. The notifying party argues that the wholesale distribution of pharmaceutical products by full-line wholesalers does not constitute a distinct product market from the wholesale distribution of pharmaceutical products by short-line wholesalers in France. It believes that short-liners exert significant competitive pressure on full-liners and vice versa. It particularly emphasizes that both sell to the same clientele and are subject to the same regulatory framework.</w:t>
      </w:r>
    </w:p>
    <w:p>
      <w:r>
        <w:t>b) Position of the Authority</w:t>
        <w:br/>
        <w:t>38. The Authority notes that the share of sales made by short-liners to pharmacies is limited. It does not exceed 3% in value for each category of medicines. Furthermore, short-liners do not offer pharmacists the possibility of being supplied with the entire range of products within a short timeframe, unlike full-liners. The majority of competitors who responded to the market test conducted by the European Commission highlighted that short-liners are not able to meet the entire demand of pharmacists. In hearings conducted by the investigative services of the Authority, one competitor stated: "No pharmacy can operate solely with short-liners. Short-liners do not really replace the secondary wholesaler; they are a complementary wholesaler." Another competitor confirmed this point during their hearing: "Short-liners offer no quality of service or even any service and are never referenced as primary or secondary wholesalers; pharmacies place orders with them in addition; however, they do offer very attractive discounts due to their significantly lower production costs compared to full-liners."</w:t>
      </w:r>
    </w:p>
    <w:p>
      <w:r>
        <w:t>39. In its aforementioned referral decision, the European Commission reached the same conclusions. It also noted that the responses to the market test it conducted with pharmacists reveal that a minimal share of pharmacies have a short-liner as a secondary wholesaler and that no pharmacist has a short-liner as a primary wholesaler. Moreover, the vast majority of these pharmacies source less than 5% of their products through short-liners.</w:t>
      </w:r>
    </w:p>
    <w:p>
      <w:r>
        <w:t>40. For all these reasons, the Authority concludes that the pharmaceutical distribution market includes only full-liners, excluding short-liners.</w:t>
      </w:r>
    </w:p>
    <w:p>
      <w:r>
        <w:t>3. ON THE DELIMITATION BY TYPE OF MEDICINES</w:t>
        <w:br/>
        <w:t>41. To the extent that there are differences between reimbursable patented medicines, generics, non-reimbursable medicines, and parapharmaceutical products in terms of prices, authorized margins, and distribution channels, the Authority questioned the relevance of a segmentation by product category while leaving the question open. In its previous decision-making practice concerning Germany, the Commission was able to dismiss this segmentation by type of medicines on the grounds that a majority of market players in the pharmaceutical distribution sector involved indicated that they generally delivered all types of products to all customers.</w:t>
      </w:r>
    </w:p>
    <w:p>
      <w:r>
        <w:t>42. The notifying party also considers that a segmentation of the market by products in France would not be relevant since all wholesalers deliver the full range of products and their market shares do not differ according to product groups.</w:t>
      </w:r>
    </w:p>
    <w:p>
      <w:r>
        <w:t>43. The Authority notes that all wholesale distributors deliver, on average, all categories of products and that all pharmacies acquire medicines from all categories. Furthermore, respondents to the market test addressed to competitors during the European Commission's investigation believe that a distinction by category of medicines is not justified. This point was confirmed by the market players interviewed.</w:t>
      </w:r>
    </w:p>
    <w:p>
      <w:r>
        <w:t>44. In light of the above, the analysis will be conducted on the pharmaceutical distribution market encompassing only full-liners and grouping all medicines.</w:t>
      </w:r>
    </w:p>
    <w:p>
      <w:r>
        <w:t>B. DELIMITATION OF GEOGRAPHICAL MARKETS</w:t>
        <w:br/>
        <w:t>a) Decision-Making Practice</w:t>
        <w:br/>
        <w:t>45. National decision-making practice has noted that the pharmaceutical distribution market presents both national and regional characteristics.</w:t>
      </w:r>
    </w:p>
    <w:p>
      <w:r>
        <w:t>46. In this regard, the Minister of Economy justified a national market analysis of pharmaceutical distribution on the grounds that "the homogeneous market access conditions from one region to another, the structuring of an increasingly organized demand on a national basis (formation of pharmacy groups), and the presence of major operators throughout the national territory argue in favor of a market analysis on a national basis." However, the Minister of Economy, and subsequently the Authority, left open the question of whether the market could be defined at a national or local level.</w:t>
      </w:r>
    </w:p>
    <w:p>
      <w:r>
        <w:t>47. The European Commission's decision-making practice has not pronounced on the geographical delimitation of the pharmaceutical distribution market in France.</w:t>
      </w:r>
    </w:p>
    <w:p>
      <w:r>
        <w:t>48. Regarding other Member States, it has left the geographical delimitation of pharmaceutical distribution open by conducting an analysis at both the national and local levels.</w:t>
      </w:r>
    </w:p>
    <w:p>
      <w:r>
        <w:t>49. Thus, in the German market, in a case that already concerned McKesson, the Commission indicated that the geographical market "could be sub-national due to the importance given by customers to the frequency and speed of delivery, and the resulting necessity for wholesalers to compete on a sub-national basis and to have depots at the regional level." Subsequently, it retained a geographical delimitation of 2 hours and 14 minutes around the depots of wholesale distributors for the German market.</w:t>
      </w:r>
    </w:p>
    <w:p>
      <w:r>
        <w:t>50. The Commission also added that its decision-making practice regarding Germany may differ from that concerning other Member States to the extent that there are legal and geographical specificities. Thus, for the Italian and English markets, it considered a national and regional delimitation.</w:t>
      </w:r>
    </w:p>
    <w:p>
      <w:r>
        <w:t>b) Position of the Notifying Party</w:t>
        <w:br/>
        <w:t>51. The notifying party believes that a national definition of the market is the most appropriate as the regulatory conditions applicable to the activity of wholesale distributors, whether in terms of market access, public service obligations, or pricing conditions, as presented in point 13 and following of this decision, are homogeneous across the entire French territory.</w:t>
      </w:r>
    </w:p>
    <w:p>
      <w:r>
        <w:t>52. Furthermore, wholesale distributors would be competing to win contracts with pharmacy groups that are, for the most part, of national or multi-regional size, which would extend beyond the local catchment area of a depot, regardless of its definition, the geographical delimitation within which the competition between wholesale distributors takes place. Therefore, wholesale distributors would be incentivized to supply the most distant pharmacists who are members of the group to win the supply of that group, thus extending the existing supply area from a certain depot.</w:t>
      </w:r>
    </w:p>
    <w:p>
      <w:r>
        <w:t>53. The notifying party also considers that a local approach based on the delivery time of wholesale distributors could be a relevant alternative for defining the geographical market. Competition occurs through the logistical capabilities of different wholesale distributors (product storage and customer delivery), and catchment areas could be defined, conservatively in its view, as an isochrone zone of 2 hours and 20 minutes of driving time around each depot of the parties.</w:t>
      </w:r>
    </w:p>
    <w:p>
      <w:r>
        <w:t>54. Firstly, this approach would be consistent with the reasoning adopted by the Commission in decision M.9711 based on German decision-making practice.</w:t>
      </w:r>
    </w:p>
    <w:p>
      <w:r>
        <w:rPr>
          <w:b/>
        </w:rPr>
        <w:t>[Pages 16–18]</w:t>
      </w:r>
    </w:p>
    <w:p>
      <w:r>
        <w:t>55. Secondly, the sales data of the parties by client and by depot would confirm the relevance of an isochrone area of 2 hours and 20 minutes, as they operate several depots that frequently deliver to clients located beyond this travel time. According to the notifying party, all of the parties' depots would therefore have the capacity and incentives to organize delivery routes that can serve pharmacies located at such distances.</w:t>
      </w:r>
    </w:p>
    <w:p>
      <w:r>
        <w:t>c) Position of the Authority</w:t>
        <w:br/>
        <w:t>On the existence of national and local characteristics</w:t>
        <w:br/>
        <w:t>56. The Authority considers that the geographical market for pharmaceutical distribution in France indeed presents national characteristics for the reasons developed by the notifying party and outlined above in points 51 and following.</w:t>
      </w:r>
    </w:p>
    <w:p>
      <w:r>
        <w:t>57. Nevertheless, the investigation conducted demonstrates that this market also has a local dimension.</w:t>
      </w:r>
    </w:p>
    <w:p>
      <w:r>
        <w:t>58. Thus, the Authority notes that carrying out several daily deliveries, meeting the needs of pharmacist clients in terms of service quality, frequency, and delivery speed, requires a significant network of depots across the national territory and, consequently, a local presence of wholesalers-distributors. The parties, like their competing wholesalers-distributors, operate networks of depots throughout France to precisely meet this local demand. Moreover, the network of certain wholesalers-distributors only covers certain regions of the national territory. The market shares of different wholesalers can then diverge considerably from one region to another or from one local area to another. Finally, the Authority notes that the majority of pharmacy groups in France are not national (35% are regional and 39% are multi-regional), and that 12% of pharmacists in France are not affiliated with any group. As stated by a competitor: "Local power drives competitive power. National market share is not always relevant as it is an aggregation of UGA that can range from 0 to 100."</w:t>
      </w:r>
    </w:p>
    <w:p>
      <w:r>
        <w:t>59. This analysis is also shared by the European Commission. In its aforementioned decision M.10404, it notes that the competitive capacity to attract new clients depends on the location of the depots. In this regard, McKesson, which has a market share of [30-40]% at the national level, experiences market share differences at the departmental level ranging from [5-10]% to [60-70]%. Similarly, the Commission notes that pharmacy groups are predominantly not of national scale but rather of regional or supra-regional scale.</w:t>
      </w:r>
    </w:p>
    <w:p>
      <w:r>
        <w:t>On the delimitation of local areas</w:t>
        <w:br/>
        <w:t>39 The most distant clients from the [confidential] depots of Phoenix at [confidential] are located more than 140 minutes from these depots (i.e., 2 hours and 20 minutes). Similarly, the most distant clients from the [confidential] depots of McKesson at [confidential] are located more than 140 minutes from these depots.</w:t>
      </w:r>
    </w:p>
    <w:p>
      <w:r>
        <w:t>40 French regulations prohibiting the publication of detailed sales of medicines at the point of sale, the geographical analysis units ("UGA") constitute a minimum level of aggregation to identify market shares in a given geographical perimeter in France (see below for a more detailed definition).</w:t>
      </w:r>
    </w:p>
    <w:p>
      <w:r>
        <w:t>60. The notifying party argues that the sales data of pharmaceutical wholesalers collected by the Group for the Development and Realization of Statistics (GERS) would allow for a granular local understanding of the location of clients of the parties' depots. These data would therefore be adequate for assessing the geographical delimitation of local catchment areas.</w:t>
      </w:r>
    </w:p>
    <w:p>
      <w:r>
        <w:t>61. Regarding the definition of local areas, the guidelines of the Competition Authority relating to the control of concentrations (hereinafter, "the guidelines") mention the possibility of referring to "the actual behavior of consumers in a given area through information collected by points of sale on the location of their clients."</w:t>
      </w:r>
    </w:p>
    <w:p>
      <w:r>
        <w:t>62. The guidelines add that "when the notifying party has sufficient information, the Authority may also analyze the effects [...] of a concentration operation in retail by relying not on 'isochrone' areas but on 'actual footprints.' This allows for a precise picture of the clients who regularly visit the store and, by construction, of a catchment area. When the actual footprints of the target stores are communicated by the notifying party in the notification file, the Authority can use them instead of isochrone areas." The Authority can thus rely in its practice on actual footprints. In this case, this involves aggregating the geographical areas of client locations of the studied depot, which are the specific geographical codes established by GERS, namely the "UGA."</w:t>
      </w:r>
    </w:p>
    <w:p>
      <w:r>
        <w:t>63. The isochrone area of 2 hours and 20 minutes proposed by the notifying party does not, conversely, provide such a picture of the actual footprint of the depots. On the one hand, this isochrone area corresponds not to the area around the studied depot whose radius would be the maximum delivery time between the depot and its most distant recurring client, but to the area around the depot whose radius corresponds to the three hours during which afternoon deliveries can take place (from which 40 minutes of stops are subtracted). This methodology, which therefore assumes that all clients delivered by the studied depot are all located on a radial line extending from the depot, leads to artificially wide local areas. On the other hand, the actual maximum travel times between McKesson and Phoenix depots in France and their most distant clients, which are respectively [confidential] minutes on average and [confidential] minutes on average across all depots, are significantly lower than the 140 minutes proposed by the notifying party.</w:t>
      </w:r>
    </w:p>
    <w:p>
      <w:r>
        <w:t>64. The inadequacy of the notifying party's position has also been noted by the European Commission in its aforementioned decision M.10404. Thus, the Commission notes that almost all of the parties' deliveries are made, in value, at a driving distance of less than 100 minutes (McKesson: [90-100]%, Phoenix: [90-100]%).</w:t>
      </w:r>
    </w:p>
    <w:p>
      <w:r>
        <w:t>65. In these circumstances, defining the local catchment areas of the acquirer's and target's depots based on the actual footprints of their clientele (excluding non-recurring clients) allows for consideration of local specificities, particularly the geographical location of competitors' depots or the density of demand represented by pharmacists in France.</w:t>
      </w:r>
    </w:p>
    <w:p>
      <w:r>
        <w:t>66. Thus, in order to best understand the effects of the operation and due to the specificity of this case which concerns a sector for which, on the one hand, the basic data are adequate and easily accessible to define the actual footprints and, on the other hand, the Authority's investigation did not establish a clear isochrone area, the competitive analysis in the market will therefore be conducted on areas corresponding to the actual footprints of the parties' depots.</w:t>
      </w:r>
    </w:p>
    <w:p>
      <w:r>
        <w:t>67. Furthermore, it follows from paragraph 545 of the Authority's guidelines that "[t]he actual catchment area of a point of sale can thus be assimilated to that which groups consumers representing a certain percentage of the sales of that point of sale, or failing that, a certain percentage of all clients of that point of sale. The Authority's decision-making practice generally holds that the catchment area of a store can be limited to that where the clients responsible for 80% of the store's sales actually reside or, failing that, where 80% of its clients reside. The percentage of consumers not retained for the analysis is considered to be a sporadic and insignificant clientele, sometimes very distant from the point of sale: it may notably consist of "passing" and non-regular clients."</w:t>
      </w:r>
    </w:p>
    <w:p>
      <w:r>
        <w:t>68. Nevertheless, in this case, the Authority considers that it is not relevant to apply such a restriction on the percentage of sales. Unlike previous cases where the Authority had to apply such a restriction, the wholesaler-distributor transports and delivers its products to pharmacists, who do not travel to the depot. Finally, in this intermediate sector, the addresses of all professional clients of the parties are known. Consequently, the actual footprints have been calculated based on the location of 100% of the recurring clients of each of the parties' depots.</w:t>
      </w:r>
    </w:p>
    <w:p>
      <w:r>
        <w:t>69. In conclusion, the competitive analysis will be conducted at both the national and local levels. The catchment areas retained for the purposes of local analyses will be the actual footprints of the entire recurring clientele of the parties' depots.</w:t>
      </w:r>
    </w:p>
    <w:p>
      <w:r>
        <w:t>IV. Competitive Analysis</w:t>
      </w:r>
    </w:p>
    <w:p>
      <w:r>
        <w:rPr>
          <w:b/>
        </w:rPr>
        <w:t>[Pages 19–21]</w:t>
      </w:r>
    </w:p>
    <w:p>
      <w:r>
        <w:t>A. THE HORIZONTAL EFFECTS OF THE OPERATION</w:t>
        <w:br/>
        <w:t>70. The concentration project of the parties entails an overlap of activities in the pharmaceutical distribution market. As described by the Authority in points 614 and following of the guidelines, in the context of horizontal concentrations, there is a risk of harm to competition when the operation confers or strengthens the market power that one of the parties held prior to the operation. In the general framework of its analysis, the Authority must ensure that the operation does not confer upon the new entity the power to impede the maintenance of effective competition by giving it the ability to significantly increase its prices, reduce the diversity or quality of products and services available in the market.</w:t>
      </w:r>
    </w:p>
    <w:p>
      <w:r>
        <w:t>71. In this case, the Authority questioned the likelihood that, following the operation, the new entity would be able to degrade the commercial conditions of its clients, which would manifest as an increase in the share of their regulatory margin not passed on to pharmacies or a decrease in discounts granted to pharmacists or pharmacy groups, or even a reduction in the quality of services provided to them.</w:t>
      </w:r>
    </w:p>
    <w:p>
      <w:r>
        <w:t>72. After describing the characteristics of the pharmaceutical distribution market (1), the Authority will analyze the position of the new entity at the national level and at the level of local catchment areas (2).</w:t>
      </w:r>
    </w:p>
    <w:p>
      <w:r>
        <w:t>1. THE CHARACTERISTICS OF THE MARKET</w:t>
        <w:br/>
        <w:t>a) On the current regulations</w:t>
        <w:br/>
        <w:t>73. As recalled in point 13 above, the activities of wholesale distributors are closely regulated and subject to strong public service constraints. Thus, the margins of wholesale distributors are subject to price regulation concerning the sales of reimbursable medicines, which represent more than 80% of their turnover. Regarding non-reimbursable medicines and parapharmaceuticals, while prices and tariffs are free, these products are primarily distributed to pharmacists through the direct sales channel (nearly 80% of total OTC and parapharmaceutical sales in France are made through direct sales).</w:t>
      </w:r>
    </w:p>
    <w:p>
      <w:r>
        <w:t>74. It follows that any potential pricing effects of the operation would, in any case, be limited. Following the operation, the new entity could only increase its margins within the limits set by the legislator. Thus, it emerges from the investigation that, for Phoenix, its net margin rate achieved for the year 2020 is [0-5]% on reimbursable branded medicines and [5-10]% on generics. According to the regulatory framework, and considering the product mix of Phoenix's sales for the year 2020, Phoenix's maximum margin rate could have averaged [5-10]% for reimbursable branded medicines and [5-10]% for generics. For McKesson, the net margin rate achieved in 2020 on generics is [5-10]%. Similarly to Phoenix, its maximum margin rate for 2020 could have averaged [5-10]%. Finally, as recalled in point 22 above, it must also be taken into account that the remuneration of pharmacists is also regulated and does not depend on the margins granted to wholesale distributors. The price of reimbursed medicines ultimately borne by the end customer is fixed.</w:t>
      </w:r>
    </w:p>
    <w:p>
      <w:r>
        <w:t>75. Regarding the risk of degradation of service quality to pharmacists, as the Authority also noted in point 13 above, wholesale distributors are subject to very strong constraints related to their public service obligations. It follows that any potential degradation of services provided to client pharmacists will necessarily be limited to services that go beyond public service obligations.</w:t>
      </w:r>
    </w:p>
    <w:p>
      <w:r>
        <w:t>b) On the absence of barriers to the expansion of competitors</w:t>
        <w:br/>
        <w:t>76. It emerges from the market tests conducted during the investigation that a very strong majority of wholesalers responded that there are significant barriers to entry for a new entrant to access the market due to the very high fixed costs implied by the regulatory context described in paragraphs 9 and following. Similarly, respondents overwhelmingly indicate that these barriers also limit the expansion of operators into geographical areas where they are not present.</w:t>
      </w:r>
    </w:p>
    <w:p>
      <w:r>
        <w:t>77. Nevertheless, the competitors surveyed by the European Commission stated that, in their vast majority, they have additional capacities allowing them to absorb any potential new clientele. It follows that the competitors of the parties are able to exert competitive pressure on the new entity as they already have a presence in the market.</w:t>
      </w:r>
    </w:p>
    <w:p>
      <w:r>
        <w:t>78. Some respondents indicated in their responses that the quota systems established by laboratories regarding the distribution of certain pharmaceutical specialties could represent a certain constraint for a wholesale distributor in acquiring new clients.</w:t>
      </w:r>
    </w:p>
    <w:p>
      <w:r>
        <w:t>79. However, the establishment of such a supply regulation system for wholesale distributors currently concerns, according to the information collected during the investigation, only a minority proportion of the sales of medicines distributed by wholesale distributors. In this sense, it is limited to what is strictly necessary for a reliable and optimal supply of the French market and maintains real possibilities for competition through discounts and services among wholesale distributors in France. Thus, the laboratories' quota policies do not undermine the ability of wholesale distributors to acquire new clients and gain market shares.</w:t>
      </w:r>
    </w:p>
    <w:p>
      <w:r>
        <w:t>80. The absence of barriers to the expansion of competitors also results from the commercial conditions binding pharmacy groups to wholesale distributors. In this regard, the analysis shows that the average duration of contracts concluded between groups and their wholesalers does not exceed [confidential] years, contracts that are then tacitly or concertedly renewed between the parties. Similarly, the termination conditions of the contracts provide, on average, a notice period of [confidential] months for the group wishing to terminate. Furthermore, the groups surveyed in the market test indicated that the contracts concluded between them and pharmacies had a duration of between [confidential] years. There are thus few contractual constraints on a pharmacist's ability to change wholesale distributor(s).</w:t>
      </w:r>
    </w:p>
    <w:p>
      <w:r>
        <w:t>81. This fluidity of the market is also illustrated by the elements provided by the notifying party, which demonstrate that the parties gain and lose clients throughout the year regularly. These documents thus confirm that neither the quota mechanism nor other logistical capacity constraints (storage capacity, transport, etc.) or contractual constraints prevent wholesale distributors from engaging in competitive dynamics.</w:t>
      </w:r>
    </w:p>
    <w:p>
      <w:r>
        <w:t>82. It follows that there are no barriers limiting the ability of clients of the new entity to switch to a competing offer provided by one of the other wholesale distributors present in the market in the event of a deterioration in pricing or in terms of service quality.</w:t>
      </w:r>
    </w:p>
    <w:p>
      <w:r>
        <w:t>c) On the competitive pressure from direct sales</w:t>
        <w:br/>
        <w:t>83. The Authority observes that there is a difference in the supply circuits of pharmacies between those concerning non-reimbursable medicines and those concerning reimbursable medicines.</w:t>
      </w:r>
    </w:p>
    <w:p>
      <w:r>
        <w:t>84. For the latter, the majority of supply is ensured by wholesale distributors, whose deliveries represent nearly 70% of volumes. The proportion is reversed for the supply of non-reimbursable medicines, for which wholesale distributors only ensure 20% of supplies. Direct sales account for nearly 80% of deliveries. Across all products, a pharmacy relies on average for 60% of its supply, in value, on a wholesale distributor and resorts to direct sales for 40% of it. On this point, as noted by the Authority in its opinion No. 19-A-08, France is one of the European countries where the direct sales channel is the most developed.</w:t>
      </w:r>
    </w:p>
    <w:p>
      <w:r>
        <w:t>85. In its aforementioned opinion No. 19-A-08, the Authority noted that there was a competitive imbalance that manifested notably in the significant volume of direct sales of medicines, benefiting both ends of the distribution chain, namely laboratories and pharmacists, to the detriment of wholesale distributors.</w:t>
      </w:r>
    </w:p>
    <w:p>
      <w:r>
        <w:t>86. Thus, wholesale distributors find themselves bypassed by laboratories on an increasing number of branded molecules, with laboratories preferring to go through the direct sales channel to better control the distribution of their products (supplying pharmacists through direct sales for approximately 15% of total branded sales). Furthermore, regarding generic medicines, while distribution is predominantly through the wholesale distributors, the competitive pressure from direct sales remains significant.</w:t>
      </w:r>
    </w:p>
    <w:p>
      <w:r>
        <w:rPr>
          <w:b/>
        </w:rPr>
        <w:t>[Pages 22–24]</w:t>
      </w:r>
    </w:p>
    <w:p>
      <w:r>
        <w:t>wholesalers (supplying direct sales to pharmacists for approximately 20% of total generic sales), it is in exchange for the waiver of their authorized margins on these products, to the benefit of pharmacists.</w:t>
      </w:r>
    </w:p>
    <w:p>
      <w:r>
        <w:t>87. However, resorting to direct sales is not able to meet all the needs of pharmacists, particularly with regard to the logistical comfort provided by wholesalers-distributors, as developed in points 30 and following above.</w:t>
      </w:r>
    </w:p>
    <w:p>
      <w:r>
        <w:t>88. It follows from the above that direct sales exert a certain competitive pressure on the activities of wholesalers-distributors and, by extension, on the new entity, but this remains limited, particularly concerning reimbursable medications.</w:t>
      </w:r>
    </w:p>
    <w:p>
      <w:r>
        <w:t>d) On the Countervailing Power of Demand</w:t>
        <w:br/>
        <w:t>89. Generally, the notifying party argues that the activity of wholesale distribution is characterized by very high fixed costs and low, regulated margins, which implies that operators must maximize the use of their capacities. Under these conditions, the notifying party considers that pharmacists are in a favorable negotiating position.</w:t>
      </w:r>
    </w:p>
    <w:p>
      <w:r>
        <w:t>90. The notifying party also argues that pharmacy groups constitute a significant competitive force in France and exert strong compensatory purchasing power over wholesalers-distributors.</w:t>
      </w:r>
    </w:p>
    <w:p>
      <w:r>
        <w:t>91. According to the notifying party, pharmacy groups negotiate terms, such as discounts, with wholesalers-distributors on behalf of their member pharmacies and make these terms available to them. Membership in a group is therefore advantageous for pharmacies as it allows them to benefit from better conditions than they could negotiate individually with the wholesalers-distributors of the group since negotiations between groups and wholesalers-distributors are conducted on larger volumes, which benefits all member pharmacies.</w:t>
      </w:r>
    </w:p>
    <w:p>
      <w:r>
        <w:t>92. Given that the services provided by wholesalers-distributors active in the market are generally comparable, groups particularly negotiate supply conditions such as delivery times or discounts granted. In this regard, it emerges from the investigation that there is intense competition among different wholesalers-distributors to secure groups so that their members prioritize sourcing from them. For wholesalers-distributors such as the parties, who have their own groups, competition is also fierce to attract new members.</w:t>
      </w:r>
    </w:p>
    <w:p>
      <w:r>
        <w:t>93. These observations regarding the existence of a countervailing power of demand are confirmed by the responses of competitors to the European Commission's market test. A large majority of competitors indicated that pharmacists could have strong negotiating power. Several respondents mentioned that the countervailing power of demand comes from the membership of pharmacies in groups that are able to obtain significant discounts from suppliers.</w:t>
      </w:r>
    </w:p>
    <w:p>
      <w:r>
        <w:t>94. The responses to the market test conducted with pharmacy groups do not allow for a conclusion on the intensity of this countervailing power. However, the Authority observes that half of the respondents who expressed themselves on this point indicated that they have significant negotiating power.</w:t>
      </w:r>
    </w:p>
    <w:p>
      <w:r>
        <w:t>95. It follows from the elements recalled above that pharmacy groups negotiating better commercial conditions on behalf of their members are able to temper the exercise of the market power of the new entity.</w:t>
      </w:r>
    </w:p>
    <w:p>
      <w:r>
        <w:t>e) Conclusion</w:t>
        <w:br/>
        <w:t>96. At the conclusion of the investigation, the Authority considers that the market power of the new entity, both at the national and local levels, should be assessed in light of the factors explained in points 73 and following.</w:t>
      </w:r>
    </w:p>
    <w:p>
      <w:r>
        <w:t>2. ASSESSMENT OF THE MARKET POWER OF THE NEW ENTITY</w:t>
        <w:br/>
        <w:t>97. As recalled in the guidelines on the control of concentrations, the market shares of the parties and their competitors and the degree of concentration of the relevant market provide a first useful indication for determining the market power of the new entity. The higher the market share of the new entity relative to those of its competitors, the greater the likelihood that it confers or strengthens market power.</w:t>
      </w:r>
    </w:p>
    <w:p>
      <w:r>
        <w:t>98. In this regard, paragraph 622 of the guidelines recalls that "the existence of large market shares is an important element in assessing a company's market power. High post-transaction market shares, on the order of 50% or more, may raise a presumption of significant market power. However, such a presumption is rebuttable."</w:t>
      </w:r>
    </w:p>
    <w:p>
      <w:r>
        <w:t>99. However, one cannot exclude, in principle, any competition issue in the presence of market shares below the threshold indicated above, as the analysis of the effects of a transaction must be conducted based on the competitive structure of each relevant market. Thus, the Competition Authority has repeatedly considered that a combined market share of the parties between 40% and 50% could justify a detailed examination of catchment areas.</w:t>
      </w:r>
    </w:p>
    <w:p>
      <w:r>
        <w:t>100. In this case, the Authority will conduct the analysis taking into account the market shares of the new entity, but also all the characteristics of the market described previously. Conservatively, the Authority will examine all catchment areas where the market share of the new entity will exceed 40%.</w:t>
      </w:r>
    </w:p>
    <w:p>
      <w:r>
        <w:t>a) At the National Level</w:t>
        <w:br/>
        <w:t>101. In the national market for pharmaceutical distribution in France, the combined market share of the parties is estimated in 2020 at [40-50]%, with the operation resulting in an addition of market shares of approximately [5-10] points. In this case, the parties will still face competition from 5 other players: CERP Rouen ([20-30]%), Alliance Healthcare ([10-20%]), CERP Rhin-Rhône Méditerranée ([10-20%]), CERP Bretagne Atlantique ([0-5%]), and Giphar ([0-5%]).</w:t>
      </w:r>
    </w:p>
    <w:p>
      <w:r>
        <w:t>102. The Authority notes that following the operation, the new entity will have a significant market share nearly twice that of its first competitor, CERP Rouen. The operation reduces the number of players from seven to six.</w:t>
      </w:r>
    </w:p>
    <w:p>
      <w:r>
        <w:t>103. However, the Authority considers that the operation is not likely to lead to a deterioration in the commercial conditions of the parties' customers at the national level for the following reasons.</w:t>
      </w:r>
    </w:p>
    <w:p>
      <w:r>
        <w:t>104. The Authority observes that following the operation, the new entity will still face competition from at least 3 operators with a market share greater than 10% at the national level. Given the geographical coverage of the new entity, it will always face competition from Alliance, which has a national presence. Furthermore, it emerges from the hearing of a representative of a competing operator that, although independent of each other, the 3 CERP groups can offer joint commercial offers to respond to tenders organized by players requiring national geographical coverage. This presence ensures that pharmacies and customer groups of the new entity will have credible alternatives to the services provided by the parties in the event that the new entity deteriorates the prices or quality of the services offered to its customers.</w:t>
      </w:r>
    </w:p>
    <w:p>
      <w:r>
        <w:t>105. This observation is corroborated by the responses to the market test from pharmacy groups, which mostly indicated that, following the operation, there will remain a sufficient number of wholesalers capable of meeting their needs. In light of the contextual elements recalled in points 73 and following above, the operation is not likely to lead to a deterioration in the commercial conditions of the new entity's customers.</w:t>
      </w:r>
    </w:p>
    <w:p>
      <w:r>
        <w:t>106. Therefore, considering the presence and positioning of competitors, the existence of a countervailing power of demand, and the competitive pressure from direct sales, the Authority considers that the operation is not likely to harm competition in the pharmaceutical distribution market at the national level.</w:t>
      </w:r>
    </w:p>
    <w:p>
      <w:r>
        <w:t>b) At the Local Level</w:t>
        <w:br/>
        <w:t>On the Method of Calculating Local Market Shares</w:t>
        <w:br/>
        <w:t>Position of the Notifying Party</w:t>
        <w:br/>
        <w:t>107. During the investigation, the notifying party proposed using a method that calculates the positions of the parties and their competitors in a given geographical area based on the revenue generated from customers located in that area. According to this method, local market shares in value are calculated by taking into account customers located in the relevant geographical area and include all depots of wholesalers-distributors that deliver to customers situated in this area, including depots that are not located in this geographical area. Conversely, sales made to customers not residing in the relevant geographical area are not taken into account, even if the depot is located in that geographical area.</w:t>
      </w:r>
    </w:p>
    <w:p>
      <w:r>
        <w:t>Position of the Authority</w:t>
      </w:r>
    </w:p>
    <w:p>
      <w:r>
        <w:rPr>
          <w:b/>
        </w:rPr>
        <w:t>[Pages 25–27]</w:t>
      </w:r>
    </w:p>
    <w:p>
      <w:r>
        <w:t>108. Paragraph 546 of the guidelines emphasizes, regarding retail trade, that there may be "stores not present in the selected catchment area, but which could, in the event of a price increase or a deterioration in the quality of services provided by the examined store, constitute credible alternative offers to which consumers would turn. In this regard, the calculation of market shares in local catchment areas may be sensitive to threshold effects. The Authority verifies whether it is appropriate to include competitors located beyond the identified catchment area but who exert competitive pressure on the identified store."</w:t>
      </w:r>
    </w:p>
    <w:p>
      <w:r>
        <w:t>109. Paragraph 547 specifies that the Authority "may also resort to more sophisticated methods that could address this issue and provide additional insight. Thus, it is possible, to assess the effects of the operation, to calculate market shares from the perspective of each of the customers, real or hypothetical, of the analyzed catchment area (that is, in an area centered on that customer and with a radius identical to that of the catchment area), and then to aggregate these market shares with an appropriate weighting."</w:t>
      </w:r>
    </w:p>
    <w:p>
      <w:r>
        <w:t>110. In the case at hand, the application of this method allows for the precise identification of the sales of the depots of wholesale distributors that supply pharmacies established in an area and thus more accurately reflects the competitive pressure between the depots of wholesale distributors. It allows for a relatively fine analysis of the competitive pressure that competing depots can exert since each is only taken into account to the extent of the proportion of customers located in the recruitment area of the studied depot at the center of the area, who actually turn to the competing depot.</w:t>
      </w:r>
    </w:p>
    <w:p>
      <w:r>
        <w:t>111. Given these elements, and due to the specificity of the present case which concerns a sector for which access to data allows for a relevant implementation of this methodology for calculating local market shares, the Authority considers that the local competitive analysis should be conducted based on market shares calculated according to the location of the customers of the parties.</w:t>
      </w:r>
    </w:p>
    <w:p>
      <w:r>
        <w:t>Analysis of Local Areas</w:t>
        <w:br/>
        <w:t>112. The Authority analyzed 59 catchment areas representing the actual footprints of the 59 depots belonging to the parties. In light of the contextual elements recalled in paragraphs 73 and following, the Authority considers that any risk of harm to competition can be ruled out as the new entity will have a market share of less than 40%.</w:t>
      </w:r>
    </w:p>
    <w:p>
      <w:r>
        <w:t>113. Following the operation, the new entity will have a market share between 40% and 49% in 23 local areas, and a market share greater than or equal to 50% in 16 local areas.</w:t>
      </w:r>
    </w:p>
    <w:p>
      <w:r>
        <w:t>On the Areas Where the Market Share of the New Entity is Between 40 and 49%</w:t>
        <w:br/>
        <w:t>114. In the 23 identified areas, the new entity will still face competition from at least 3 competitors, two of which have an individual market share greater than 15%, in 17 of them, so that any anticompetitive risk can be ruled out.</w:t>
      </w:r>
    </w:p>
    <w:p>
      <w:r>
        <w:t>For the 6 other areas, anticompetitive risks can be ruled out for the following reasons.</w:t>
      </w:r>
    </w:p>
    <w:p>
      <w:r>
        <w:t>115. In the areas of the OCP and Phoenix depots located in Lille, the market share of the new entity will be around [40-50]% (Phoenix: [10-20]%; OCP: [30-40]%). The new entity will continue to face competition from CERP Rouen, which has a similar market share ([30-40]%), as well as Alliance ([10-20]%), the third player in the sector with a national presence. Furthermore, Sogiphar is also present with a market share of approximately [5-10]%. The Authority considers that, under these conditions and in light of the elements recalled in points 73 and following, the operation is not likely to lead to anticompetitive effects in these areas.</w:t>
      </w:r>
    </w:p>
    <w:p>
      <w:r>
        <w:t>116. In the area of the Phoenix depot located in Chatellerault, the market share of the new entity will be [40-50]% (Phoenix: [20-30]%; OCP: [20-30]%). The new entity will continue to face competition from Alliance, which has a market share of [30-40]%, as well as CERP Rouen ([10-20]%). Additionally, two other players, Sogiphar ([5-10]%) and CERP Bretagne-Atlantique ([5-10]%), are also present. The Authority considers that, under these conditions and in light of the elements recalled in points 73 and following, the operation is not likely to lead to anticompetitive effects in this area.</w:t>
      </w:r>
    </w:p>
    <w:p>
      <w:r>
        <w:t>117. In the area of the OCP depot located in Lyon, the market share of the new entity will be [40-50]% (Phoenix: [5-10]%; OCP: [40-50]%). Besides the low addition of market shares in this area, the Authority notes that the new entity will continue to face competition from three players, CERP Rouen, which has a market share of [20-30]%, as well as Alliance ([10-20]%) and CERP RRM ([10-20]%). The Authority considers that, under these conditions and in light of the elements recalled in points 73 and following, the operation is not likely to lead to anticompetitive effects in this area.</w:t>
      </w:r>
    </w:p>
    <w:p>
      <w:r>
        <w:t>118. In the area of the Phoenix depot located in Niort, the market share of the new entity will be [40-50]% (Phoenix: [10-20]%; OCP: [30-40]%). However, the new entity will continue to face competition from CERP Bretagne-Atlantique ([30-40]%) as well as Alliance ([10-20]%). Additionally, two other players, Sogiphar ([5-10]%) and CERP Bretagne-Atlantique ([5-10]%), are also present. The Authority considers that, under these conditions and in light of the elements recalled in points 73 and following, the operation is not likely to lead to anticompetitive effects in this area.</w:t>
      </w:r>
    </w:p>
    <w:p>
      <w:r>
        <w:t>119. Finally, in the area of the OCP depot located in Atton, the market share of the new entity will be [40-50]% (Phoenix: [20-30]%; OCP: [20-30]%). However, the new entity will continue to face competition from Alliance, which has a market share of [20-30]%, as well as CERP RRM ([10-20]%) and CERP Rouen ([10-20]%). The Authority considers that, under these conditions and in light of the elements recalled in points 73 and following, the operation is not likely to lead to anticompetitive effects in this area.</w:t>
      </w:r>
    </w:p>
    <w:p>
      <w:r>
        <w:t>On the Areas Where the Market Share of the New Entity is Greater Than or Equal to 50%</w:t>
        <w:br/>
        <w:t>120. In the 16 areas where the market share of the new entity is greater than or equal to 50%, the Authority verified whether the position of the new entity would allow it to reduce the margin passed on to pharmacists or to degrade the quality of its services to the detriment of the pharmacies located in these areas.</w:t>
      </w:r>
    </w:p>
    <w:p>
      <w:r>
        <w:t>121. The Authority considers that any risk of deterioration in commercial conditions for the pharmacies served by these depots can be ruled out in 15 areas for the following reasons.</w:t>
      </w:r>
    </w:p>
    <w:p>
      <w:r>
        <w:t>122. In the area around the OCP depot located in Paris, the market share of the new entity will be [50-60]% (Phoenix: [5-10]%; OCP: [40-50]%). Following the operation, the new entity will face competition from CERP Rouen, which has a market share of [30-40]%, from Alliance, which has a market share of [10-20]%, and, more marginally, from Sogiphar, whose market share is [0-5]%. The Authority also observes that a very significant share ([80-90]%) of the depot's revenue is generated from pharmacies that are members of groups with national or multiregional presence, and for which only [10-20]% of affiliated members are located in the local area. Under these conditions, the market power of the new entity must be relativized. The commercial conditions being negotiated with these groups at the national or multiregional level for their members, the market power of the new entity in the area around the OCP depot located in Paris would not allow it to impose a deterioration in the commercial conditions of its many clients in the area who are members of these groups. Furthermore, the new entity would not be incentivized to degrade the commercial conditions for the very small proportion of clients who are not affiliated with these groups, as they would still have credible alternatives to the services of the new entity in the area. Under these conditions, the operation is not likely to lead to anticompetitive risks in this area.</w:t>
      </w:r>
    </w:p>
    <w:p>
      <w:r>
        <w:t>123. In the area around the OCP depot located in Tarbes, the market share of the new entity will be [50-60]% (Phoenix: [10-20]%; OCP: [30-40]%). Following the operation, the new entity will face competition from CERP Rouen, which has a market share of [20-30]%, from Alliance, which has a market share of [20-30]%, and, more marginally, from Sogiphar, whose market share is [0-5]%. The Authority also observes that a very significant share ([80-90]%) of the depot's revenue is generated from pharmacies that are members of groups with national or multiregional presence, and for which only [0-5]% of affiliated members are located in the local area. Under these conditions, the market power of the new entity must be relativized. The commercial conditions being negotiated with these groups at the national or multiregional level for their members, the market power of the new entity in the area around the OCP depot located in Tarbes would not allow it to impose a deterioration in the commercial conditions of its many clients in the area who are members of these groups. Furthermore, the new entity would not be incentivized to degrade the commercial conditions for the very small proportion of clients who are not affiliated with these groups, as they would still have credible alternatives to the services of the new entity in the area. Under these conditions, the operation is not likely to lead to anticompetitive risks in this area.</w:t>
      </w:r>
    </w:p>
    <w:p>
      <w:r>
        <w:t>124. In the area around the Phoenix depot located in Reims, the market share of the new entity will be [50-60]% (Phoenix: [10-20]%; OCP: [30-40]%). Following the operation, the new entity will face competition from CERP Rouen, which has a market share of [20-30]%, from Alliance, which has a market share of [10-20]%, and from Sogiphar, whose market share is [0-5]%. The Authority also observes that a significant share ([60-70]%) of the depot's revenue is generated from pharmacies that are members of groups with national or multiregional presence, and for which only [0-5]% of affiliated members are located in the local area. In these conditions,</w:t>
      </w:r>
    </w:p>
    <w:p>
      <w:r>
        <w:rPr>
          <w:b/>
        </w:rPr>
        <w:t>[Pages 28–30]</w:t>
      </w:r>
    </w:p>
    <w:p>
      <w:r>
        <w:t>of clients who are not affiliated with these groups, as they always have credible alternatives to the services of the new entity in the area. Under these conditions, the operation is not likely to lead to anti-competitive risks in this area.</w:t>
      </w:r>
    </w:p>
    <w:p>
      <w:r>
        <w:rPr>
          <w:b/>
        </w:rPr>
        <w:t>[Pages 31–33]</w:t>
      </w:r>
    </w:p>
    <w:p>
      <w:r>
        <w:t>of clients who are not affiliated with these groups, as they still have credible alternatives to the services of the new entity in the area. Under these conditions, the operation is not likely to lead to anti-competitive risks in this area.</w:t>
      </w:r>
    </w:p>
    <w:p>
      <w:r>
        <w:t>133. In the area around the OCP depot located in Toulon, the market share of the new entity will be [60-70]% (Phoenix: [20-30]%; OCP: [40-50]%). Following the operation, the new entity will face competition from Alliance, which has a market share of [10-20]%, as well as from CERP RRM ([10-20]%). The Authority further observes that a significant share ([50-60]%) of the depot's revenue is generated from pharmacies that are members of groups with a national or multi-regional presence, and for which only [0-5]% of affiliated members are located in the local area. Under these conditions, the market power of the new entity must be relativized. Since commercial conditions are negotiated with these groups at the national or multi-regional level for their members, the market power of the new entity in the area around the OCP depot located in Toulon would not allow it to impose a degradation of commercial conditions on its many clients in the area who are members of these groups. Furthermore, the new entity would not be incentivized to degrade commercial conditions for the very small proportion of clients who are not affiliated with these groups, as they still have credible alternatives to the services of the new entity in the area. Under these conditions, the operation is not likely to lead to anti-competitive risks in this area.</w:t>
      </w:r>
    </w:p>
    <w:p>
      <w:r>
        <w:t>134. In the area around the Phoenix depot located in Moulins, the market share of the new entity will be [60-70]% (Phoenix: [10-20]%; OCP: [40-50]%). Following the operation, the new entity will face competition primarily from Alliance, which has a market share of [20-30]%. The other players present in this area have a limited market share: CERP Rouen ([0-5]%), CERP RRM ([5-10]%), CERP BA ([0-5]%). However, the Authority observes that a very significant share ([70-80]%) of the depot's revenue is generated from pharmacies that are members of groups with a national or multi-regional presence, and for which only [0-5]% of affiliated members are located in the local area. Under these conditions, the market power of the new entity must be relativized. Since commercial conditions are negotiated with these groups at the national or multi-regional level for their members, the market power of the new entity in the area around the Phoenix depot located in Moulins would not allow it to impose a degradation of commercial conditions on its many clients in the area who are members of these groups. Furthermore, the new entity would not be incentivized to degrade commercial conditions for the very small proportion of clients who are not affiliated with these groups, as they still have credible alternatives to the services of the new entity in the area. Under these conditions, the operation is not likely to lead to anti-competitive risks in this area.</w:t>
      </w:r>
    </w:p>
    <w:p>
      <w:r>
        <w:t>135. In the area around the OCP depot located in Clermont-Ferrand, the market share of the new entity will be [60-70]% (Phoenix: [10-20]%; OCP: [50-60]%). Following the operation, the new entity will face competition primarily from Alliance, which has a market share of [20-30]%. The other players present in this area have a limited market share: CERP Rouen ([0-5]%) and CERP RRM ([5-10]%). Nevertheless, the Authority observes that a very significant share ([70-80]%) of the depot's revenue is generated from pharmacies that are members of groups with a national or multi-regional presence, and for which only [0-5]% of affiliated members are located in the local area. Under these conditions, the market power of the new entity must be relativized. Since commercial conditions are negotiated with these groups at the national or multi-regional level for their members, the market power of the new entity in the area around the OCP depot located in Clermont-Ferrand would not allow it to impose a degradation of commercial conditions on its many clients in the area who are members of these groups. Furthermore, the new entity would not be incentivized to degrade commercial conditions for the very small proportion of clients who are not affiliated with these groups, as they still have credible alternatives to the services of the new entity in the area. Under these conditions, the operation is not likely to lead to anti-competitive risks in this area.</w:t>
      </w:r>
    </w:p>
    <w:p>
      <w:r>
        <w:t>136. In the area around the Phoenix depot located in Clermont-Ferrand, the market share of the new entity will be [70-80]% (Phoenix: [20-30]%; OCP: [50-60]%). Following the operation, the new entity will face competition primarily from Alliance, which has a market share of [10-20]%, and from CERP RRM ([10-20]%). That said, the Authority observes that a very significant share ([80-90]%) of the depot's revenue is generated from pharmacies that are members of groups with a national or multi-regional presence, and for which only [0-5]% of affiliated members are located in the local area. Under these conditions, the market power of the new entity must be relativized. Since commercial conditions are negotiated with these groups at the national or multi-regional level for their members, the market power of the new entity in the area around the Phoenix depot located in Clermont-Ferrand would not allow it to impose a degradation of commercial conditions on its many clients in the area who are members of these groups. Furthermore, the new entity would not be incentivized to degrade commercial conditions for the very small proportion of clients who are not affiliated with these groups, as they still have credible alternatives to the services of the new entity in the area. Under these conditions, the operation is not likely to lead to anti-competitive risks in this area.</w:t>
      </w:r>
    </w:p>
    <w:p>
      <w:r>
        <w:t>137. In contrast, the situation is different in the area around the Phoenix depot located in Saint-Étienne. In this area, the market share of the new entity will be [60-70]% (Phoenix: [10-20]%; OCP: [40-50]%). Following the operation, the new entity will face competition from Alliance, which has a market share of [10-20]%, as well as from CERP Rouen ([10-20]%) and CERP RRM ([5-10]%). Furthermore, the Authority observes that a very limited share ([30-40]%) of the depot's revenue is generated from pharmacies that are members of groups with a national or multi-regional presence. Clients are predominantly affiliated with regional groups whose members are almost all located in the area ([90-100]%). In light of these elements, the Authority considers that the new entity may be incentivized and will have the capacity to degrade commercial conditions for a large part of its clientele present in this area. The significant strengthening of the new entity's position in the pharmaceutical distribution market in this area is not offset by a credible and sufficient alternative offer from competing operators.</w:t>
      </w:r>
    </w:p>
    <w:p>
      <w:r>
        <w:t>138. In order to address the identified anti-competitive risk, the notifying party has submitted commitments, analyzed in Section V of this decision.</w:t>
      </w:r>
    </w:p>
    <w:p>
      <w:r>
        <w:t>c) Conclusion</w:t>
        <w:br/>
        <w:t>139. The concentration project is not likely to lead to anti-competitive effects at the national level. However, the analysis conducted at the local level does not rule out the risk of degradation of commercial conditions for the clients of the new entity in the local area of the Phoenix depot located in Saint-Étienne.</w:t>
      </w:r>
    </w:p>
    <w:p>
      <w:r>
        <w:t>V. The Commitments</w:t>
        <w:br/>
        <w:t>140. In order to remedy the anti-competitive effects identified above, the notifying party submitted, on July 18, 2022, an initial proposal of commitments that was subjected to a market test to allow the Authority to gather third-party observations on these remedies. Following this market test, a new proposal of commitments was formulated by the notifying party on August 5, 2022. This proposal of commitments was also subjected to a market test. A final version of the commitments was proposed to the Authority on September 23, 2022. The commitments, in their version of September 23, 2022, address the competition concerns identified by the Authority and are presented below. The full text of these commitments, attached as an annex, forms an integral part of this decision.</w:t>
      </w:r>
    </w:p>
    <w:p>
      <w:r>
        <w:t>A. THE PROPOSED COMMITMENTS</w:t>
        <w:br/>
        <w:t>141. The commitments proposed by the notifying party aim to remedy the anti-competitive effects that the operation generates in the pharmaceutical distribution market in the Saint-Étienne area (42).</w:t>
      </w:r>
    </w:p>
    <w:p>
      <w:r>
        <w:t>142. In the initial versions of the commitments, the notifying party proposed to undertake structural commitments to divest assets.</w:t>
      </w:r>
    </w:p>
    <w:p>
      <w:r>
        <w:t>143. In the first version of the commitments submitted for a market test, the notifying party committed to divest the depot held by Phoenix in the area to an independent buyer.</w:t>
      </w:r>
    </w:p>
    <w:p>
      <w:r>
        <w:t>144. Given the finding from the first market test that no buyer would be interested in acquiring this depot, the notifying party committed, in the second version of the commitments, to divest the depot held by OCP in the same area.</w:t>
      </w:r>
    </w:p>
    <w:p>
      <w:r>
        <w:t>145. The notifying party also proposed behavioral commitments.</w:t>
      </w:r>
    </w:p>
    <w:p>
      <w:r>
        <w:t>146. The first version of the commitments included a commitment to inform the pharmacies and groups served by the Phoenix and OCP depots in the area of the possibility of turning to the buyer of the divested site or any other competing wholesale distributor for their supply, thus allowing them to terminate their commercial relationship with the new entity without penalties and without notice. This measure was accompanied by a commitment from the new entity not to engage in any active sales or solicitation for [confidential] years to these pharmacies and groups.</w:t>
      </w:r>
    </w:p>
    <w:p>
      <w:r>
        <w:t>147. In the second version of the commitments, the new entity proposed to terminate contracts concluded with regional groups whose pharmacies are supplied by the OCP and Phoenix depots in the Saint-Étienne area. This commitment was accompanied by a promise not to enter into new agreements with the groups subject to termination and not to engage in any active sales or solicitation to the pharmacies that are members of these groups for a period of [confidential] years.</w:t>
      </w:r>
    </w:p>
    <w:p>
      <w:r>
        <w:t>148. The final version of the commitments consists exclusively of behavioral measures: the new entity commits to allow all regional groups whose pharmacies are supplied by the Phoenix depot in the Saint-Étienne area or by the OCP depot in the area to terminate their relationships with the new entity, without penalty or compensation, before December 31, 2022.</w:t>
      </w:r>
    </w:p>
    <w:p>
      <w:r>
        <w:rPr>
          <w:b/>
        </w:rPr>
        <w:t>[Pages 34–36]</w:t>
      </w:r>
    </w:p>
    <w:p>
      <w:r>
        <w:t>149. The new entity also undertakes to provide, as of January 1, 2023, that any new contract or renewed or continued contract with these groups will expressly stipulate the right for these regional groups to terminate their relationship with the new entity at any time, without penalties or indemnities, in favor of a competitor of the new entity. This obligation of the new entity will remain in effect for a period of five years.</w:t>
      </w:r>
    </w:p>
    <w:p>
      <w:r>
        <w:t>B. ASSESSMENT OF THE PROPOSED COMMITMENTS</w:t>
        <w:br/>
        <w:t>1. ON THE PRINCIPLES GUIDING THE ASSESSMENT OF THE PROPOSED COMMITMENTS</w:t>
        <w:br/>
        <w:t>150. The measures intended to remedy the competition infringements resulting from the notified operation must comply with the general criteria defined by the decision-making practice of competition authorities and the case law of the Council of State in order to be deemed sufficient to ensure effective competition in the relevant markets, in accordance with the provisions of Article L. 430-7 of the Commercial Code.</w:t>
      </w:r>
    </w:p>
    <w:p>
      <w:r>
        <w:t>151. As specified in the aforementioned guidelines of the Authority, these measures must be effective in remedying the identified competition infringements. To this end, their implementation must not raise any doubts, which implies that they should be drafted in a sufficiently clear and precise manner and that the operational modalities for their realization should be sufficiently detailed. It also follows from the case law of the Council of State that it is up to the Authority "to accept commitments only if they are sufficiently certain and measurable." Their implementation must also be swift, as competition is not preserved as long as they are not realized. They must also be controllable. Finally, the Authority must ensure that the corrective measures are proportionate. In particular, a commitment is not intended to increase the level of competition that existed in a market prior to the concentration operation.</w:t>
      </w:r>
    </w:p>
    <w:p>
      <w:r>
        <w:t>152. The Authority primarily seeks structural corrective measures, which aim to ensure competitive market structures through divestitures of activities to an appropriate acquirer capable of exerting real competition, or the elimination of capital links between competitors. However, the Authority believes that behavioral remedies can also prove to be equally effective in compensating for competition infringements in certain cases.</w:t>
      </w:r>
    </w:p>
    <w:p>
      <w:r>
        <w:t>2. ON THE APPROPRIATENESS OF THE PROPOSED COMMITMENTS</w:t>
        <w:br/>
        <w:t>a) The divestiture commitment</w:t>
        <w:br/>
        <w:t>153. In their initial versions, the commitments proposed by the notifying party included a structural component consisting of the divestiture of the assets constituting the business of the Phoenix or OCP depot in the Saint-Étienne catchment area. This commitment no longer appears in the final version of the commitments.</w:t>
      </w:r>
    </w:p>
    <w:p>
      <w:r>
        <w:t>154. In principle, such divestiture commitments are appropriate in that they aim to disentangle the concerned assets from any link with the new entity by allowing competing wholesalers-distributors to acquire them. The divestiture of a business in favor of an independent competitor in an overlapping area indeed resolves the competition issues related to the addition of the market shares of the target and the acquirer, provided that this divestiture is accompanied by the transfer of the clientele linked to the business.</w:t>
      </w:r>
    </w:p>
    <w:p>
      <w:r>
        <w:t>155. However, the pharmaceutical distribution sector presents specificities that must be taken into account when assessing the adequacy and relevance of a divestiture commitment.</w:t>
      </w:r>
    </w:p>
    <w:p>
      <w:r>
        <w:t>156. In this case, it does not appear plausible to transfer a significant share of the clientele of the divested business, and consequently the associated revenue, to the acquirer. Indeed, under the legal and regulatory context, pharmacies are free to source from the wholesaler of their choice without the latter being able to refuse to supply them. Furthermore, as indicated above in paragraph 80, the pharmaceutical distribution sector is characterized by fluidity of clients. Under these conditions, and since it cannot be ruled out that pharmacies may wish to turn to the new entity for their supply, there is a risk of erosion of the revenue associated with the divested depot.</w:t>
      </w:r>
    </w:p>
    <w:p>
      <w:r>
        <w:t>157. This finding is also reflected in the responses to the market tests conducted by the Authority. None of the surveyed competitors expressed interest in acquiring the Phoenix depot or the OCP depot, notably on the grounds that there is no guarantee of maintaining the revenue of the site post-divestiture. This lack of certainty regarding the transfer of clientele is all the more problematic as some respondents believe that operating either of the two sites would require significant investments for the acquirers.</w:t>
      </w:r>
    </w:p>
    <w:p>
      <w:r>
        <w:t>158. Conversely, the surveyed competitors stated that they would be able, if necessary, to develop their capacities to serve a very large proportion of new clients present in the catchment area of the Phoenix Saint-Étienne depot from their depots located in neighboring areas.</w:t>
      </w:r>
    </w:p>
    <w:p>
      <w:r>
        <w:t>159. Under these conditions, and to the extent that the behavioral commitments (see below) are sufficient to remedy the competition issues raised, the proposed divestiture commitment does not appear necessary or effective.</w:t>
      </w:r>
    </w:p>
    <w:p>
      <w:r>
        <w:t>b) The behavioral commitments</w:t>
        <w:br/>
        <w:t>160. To the extent that a simple transfer of clientele is not feasible for the reasons mentioned above, the commitments must at least aim to prevent the groups and their members from remaining captive to the new entity and thus allow competitors to establish a credible alternative to the new entity.</w:t>
      </w:r>
    </w:p>
    <w:p>
      <w:r>
        <w:t>161. The notifying party has notably proposed to commit to terminating the contracts concluded by OCP and Phoenix with the regional groups whose members are present in the area and to not enter into referral or similar contracts with them in the future for a period of two years. At the same time, it proposed to make no active sales or solicitation to any of the pharmacies that are members of the affected regional groups for a period of [confidential] years.</w:t>
      </w:r>
    </w:p>
    <w:p>
      <w:r>
        <w:t>162. Due to these commitments, the new entity would no longer be referenced by the regional groups for [confidential] years. Unless all the pharmacist members of these groups renounce the benefits associated with their memberships in order to source individually directly from the new entity, which is unlikely, the new entity would thus forfeit a significant portion of its clientele corresponding to a revenue that can be estimated at [confidential] million euros, which is an amount equivalent to the revenue generated by the Phoenix depot in Saint-Étienne.</w:t>
      </w:r>
    </w:p>
    <w:p>
      <w:r>
        <w:t>163. However, a commitment allowing the groups to exit the contractual relationship with the new entity without constraints achieves the same result without being detrimental to the groups and their members. The prohibition on contracting in the future with the groups would further weaken the existing competition for them and their members by depriving them of the services of the new entity, reducing the supply from 5 players before the operation to 3 under the commitments.</w:t>
      </w:r>
    </w:p>
    <w:p>
      <w:r>
        <w:t>164. The final version of the commitments, in that it provides that the regional groups whose members are served by the OCP and Phoenix depots in the area can terminate the contracts binding them to the new entity without costs or penalties by December 31, 2022, and that beyond January 1, 2023, any contract binding these groups to the new entity will expressly provide that the groups may at any time exit the contractual relationship without costs and without penalties, meets the desired objective. With these measures, competitors present in the area will still have the opportunity to acquire this clientele by offering more attractive offers. For their part, the groups will retain the ability to detach themselves from the new entity if the latter attempts to use its market power to degrade commercial conditions.</w:t>
      </w:r>
    </w:p>
    <w:p>
      <w:r>
        <w:t>165. In conclusion, the investigation has led to the conclusion that commitments allowing the regional groups to terminate agreements concluded with the new entity without costs and without delay are sufficient to address the anticompetitive effects of the operation.</w:t>
      </w:r>
    </w:p>
    <w:p>
      <w:r>
        <w:t>166. These various mechanisms therefore ensure the effectiveness of the remedies so that the commitments made allow for the removal of the competition concerns identified by the Authority in the Saint-Étienne area.</w:t>
      </w:r>
    </w:p>
    <w:p>
      <w:r>
        <w:rPr>
          <w:b/>
        </w:rPr>
        <w:t>[Pages 37–37]</w:t>
      </w:r>
    </w:p>
    <w:p>
      <w:r>
        <w:t>DECIDES</w:t>
        <w:br/>
        <w:t>Sole Article: The operation notified under number 21-210 is authorized subject to the commitments described in paragraphs 140 to 166 above and annexed to this decision.</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