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https://www.autoritedelaconcurrence.fr/fr/decision-de-controle-des-concentrations/relative-la-prise-de-controle-exclusif-de-la-societe-372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22-DCC-182 of October 5, 2022  </w:t>
        <w:br/>
        <w:t xml:space="preserve">regarding the exclusive control acquisition of the company Préférence Services  </w:t>
        <w:br/>
        <w:t xml:space="preserve">by the Emil Frey group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20, 2022, concerning the exclusive control acquisition of the company Préférence Services by  </w:t>
        <w:br/>
        <w:t xml:space="preserve">the company Emil Frey Motors France, a subsidiary of the Emil Frey group, formalized by a letter  </w:t>
        <w:br/>
        <w:t xml:space="preserve">of intent signed on July 20,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Préférence Services,  </w:t>
        <w:br/>
        <w:t xml:space="preserve">active in the motorcycle distribution sector in the departments of Gironde (33) and  </w:t>
        <w:br/>
        <w:t xml:space="preserve">Pyrénées-Atlantiques (64), by the Emil Frey group. It constitutes a concentration operation within the meaning of Article L. 430-1 of the Commercial Code. Given the turnover achieved by the concerned companies, the operation does not fall under the jurisdiction of  </w:t>
        <w:br/>
        <w:t xml:space="preserve">the European Union. However, the retail control thresholds mentioned in II of Article L. 430-2 of the Commercial Code are exceeded. This 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22-209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