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https://www.autoritedelaconcurrence.fr/fr/decision-de-controle-des-concentrations/relative-la-prise-de-controle-exclusif-de-la-societe-373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22-DCC-201 of October 17, 2022  </w:t>
        <w:br/>
        <w:t xml:space="preserve">regarding the exclusive control acquisition of the company EnergyGo by the  </w:t>
        <w:br/>
        <w:t>company HomeServe</w:t>
      </w:r>
    </w:p>
    <w:p>
      <w:r>
        <w:t>The Competition Authority,</w:t>
      </w:r>
    </w:p>
    <w:p>
      <w:r>
        <w:t xml:space="preserve">Having regard to the complete notification file submitted to the mergers department on  </w:t>
        <w:br/>
        <w:t xml:space="preserve">September 30, 2022, concerning the exclusive control acquisition of the company EnergyGo by the company  </w:t>
        <w:br/>
        <w:t xml:space="preserve">HomeServe, formalized by the share transfer agreement under suspensive conditions dated  </w:t>
        <w:br/>
        <w:t>September 9, 2022;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by the company HomeServe of the  </w:t>
        <w:br/>
        <w:t xml:space="preserve">company EnergyGo, active in the energy renovation sector. In particular, both parties are active in the climate engineering sector. The operation constitutes a  </w:t>
        <w:br/>
        <w:t xml:space="preserve">concentration within the meaning of Article L. 430-1 of the Commercial Code. Given the turnover achieved by the companies concerned,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>of Articles L. 430-3 and following of the Commercial Code 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22-237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