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https://www.autoritedelaconcurrence.fr/fr/decision-de-controle-des-concentrations/relative-la-prise-de-controle-exclusif-de-la-societe-374</w:t>
      </w:r>
    </w:p>
    <w:p>
      <w:r>
        <w:t>Pages translated : 2</w:t>
      </w:r>
    </w:p>
    <w:p/>
    <w:p>
      <w:r>
        <w:rPr>
          <w:b/>
        </w:rPr>
        <w:t>[Pages 1–2]</w:t>
      </w:r>
    </w:p>
    <w:p>
      <w:r>
        <w:t>FRENCH REPUBLIC</w:t>
        <w:br/>
        <w:t>Decision No. 22-DCC-202 of October 18, 2022</w:t>
        <w:br/>
        <w:t>regarding the exclusive control acquisition of the company Clayens by the</w:t>
        <w:br/>
        <w:t>company OEP Capital Advisors</w:t>
        <w:br/>
        <w:t>The Competition Authority,</w:t>
        <w:br/>
        <w:t>Having regard to the complete notification file submitted to the mergers department on September 29, 2022, concerning the exclusive control acquisition of the company Clayens NP by the company OEP Capital Advisors, LP., USA, formalized by a sale and purchase agreement concluded on July 28, 2022;</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OEP Capital Advisors of the company Clayens, which is active in the processing of polymers, components, and precision metal parts.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22-229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