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https://www.autoritedelaconcurrence.fr/fr/decision-de-controle-des-concentrations/relative-la-prise-de-controle-exclusif-de-la-societe-375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22-DCC-212 of November 17, 2022  </w:t>
        <w:br/>
        <w:t xml:space="preserve">regarding the exclusive control acquisition of the company Assuristance by the  </w:t>
        <w:br/>
        <w:t xml:space="preserve">company CNP Assurances  </w:t>
        <w:br/>
        <w:t xml:space="preserve">The Competition Authority,  </w:t>
        <w:br/>
        <w:t xml:space="preserve">Having regard to the complete notification file sent to the mergers department on October 21, 2022,  </w:t>
        <w:br/>
        <w:t xml:space="preserve">concerning the exclusive control acquisition of the company Assuristance by the company CNP Assurances,  </w:t>
        <w:br/>
        <w:t xml:space="preserve">formalized by the letter exercising the purchase promise dated May 6,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Assuristance by the  </w:t>
        <w:br/>
        <w:t xml:space="preserve">company CNP Assurances. Assuristance is active in the sector of assistance to individuals  </w:t>
        <w:br/>
        <w:t xml:space="preserve">and property, as well as in the sector of personal services. CNP Assurances is active in the  </w:t>
        <w:br/>
        <w:t xml:space="preserve">sector of personal insurance in France, in terms of savings, retirement, and risk of  </w:t>
        <w:br/>
        <w:t xml:space="preserve">protection. The operation constitutes a concentration operation within the meaning of Article L. 430-1  </w:t>
        <w:br/>
        <w:t xml:space="preserve">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22-235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