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https://www.autoritedelaconcurrence.fr/fr/decision-de-controle-des-concentrations/relative-la-prise-de-controle-exclusif-de-la-societe-376</w:t>
      </w:r>
    </w:p>
    <w:p>
      <w:r>
        <w:t>Pages translated : 2</w:t>
      </w:r>
    </w:p>
    <w:p/>
    <w:p>
      <w:r>
        <w:rPr>
          <w:b/>
        </w:rPr>
        <w:t>[Pages 1–2]</w:t>
      </w:r>
    </w:p>
    <w:p>
      <w:r>
        <w:t xml:space="preserve">FRENCH REPUBLIC  </w:t>
        <w:br/>
        <w:t xml:space="preserve">Decision No. 22-DCC-223 of November 18, 2022  </w:t>
        <w:br/>
        <w:t xml:space="preserve">regarding the exclusive control acquisition of the Alençonnaise automobile distribution company by the Legrand group  </w:t>
        <w:br/>
        <w:t xml:space="preserve">The Competition Authority,  </w:t>
        <w:br/>
        <w:t xml:space="preserve">Having regard to the complete notification file submitted to the mergers department on October 26, 2022, concerning the exclusive control acquisition of the Alençonnaise automobile distribution company by the company Garage de l’Europe, the parent company of the Legrand group, formalized by a letter of intent dated October 19,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Garage de l’Europe, parent company of the Legrand group, of the Alençonnaise automobile distribution company, active in the automobile distribution sector in the department of Orne (61).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22-263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