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https://www.autoritedelaconcurrence.fr/fr/decision-de-controle-des-concentrations/relative-la-prise-de-controle-exclusif-de-la-societe-377</w:t>
      </w:r>
    </w:p>
    <w:p>
      <w:r>
        <w:t>Pages translated : 2</w:t>
      </w:r>
    </w:p>
    <w:p/>
    <w:p>
      <w:r>
        <w:rPr>
          <w:b/>
        </w:rPr>
        <w:t>[Pages 1–2]</w:t>
      </w:r>
    </w:p>
    <w:p>
      <w:r>
        <w:t xml:space="preserve">FRENCH REPUBLIC  </w:t>
        <w:br/>
        <w:t xml:space="preserve">Decision No. 22-DCC-228 of December 1, 2022  </w:t>
        <w:br/>
        <w:t xml:space="preserve">regarding the exclusive control acquisition of the company Vinatis by the  </w:t>
        <w:br/>
        <w:t xml:space="preserve">Castel group  </w:t>
        <w:br/>
        <w:t xml:space="preserve">The Competition Authority,  </w:t>
        <w:br/>
        <w:t xml:space="preserve">Having regard to the complete notification file submitted to the mergers department on November 15,  </w:t>
        <w:br/>
        <w:t xml:space="preserve">2022, concerning the acquisition of control of the company Vinatis by the company SIA Négoce-SVF, a subsidiary  </w:t>
        <w:br/>
        <w:t xml:space="preserve">of the Castel group, formalized by a share transfer agreement under suspensive conditions dated  </w:t>
        <w:br/>
        <w:t xml:space="preserve">September 1, 2022;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Castel group of the company  </w:t>
        <w:br/>
        <w:t xml:space="preserve">Vinatis, active in the distribution of still wines, sparkling wines, and champagnes online. It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22-233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