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https://www.autoritedelaconcurrence.fr/fr/decision-de-controle-des-concentrations/relative-la-prise-de-controle-exclusif-de-la-societe-380</w:t>
      </w:r>
    </w:p>
    <w:p>
      <w:r>
        <w:t>Pages translated : 2</w:t>
      </w:r>
    </w:p>
    <w:p/>
    <w:p>
      <w:r>
        <w:rPr>
          <w:b/>
        </w:rPr>
        <w:t>[Pages 1–2]</w:t>
      </w:r>
    </w:p>
    <w:p>
      <w:r>
        <w:t xml:space="preserve">FRENCH REPUBLIC  </w:t>
        <w:br/>
        <w:t xml:space="preserve">Decision No. 22-DCC-250 of December 16, 2022  </w:t>
        <w:br/>
        <w:t xml:space="preserve">regarding the exclusive control acquisition of the company Utilitaires services  </w:t>
        <w:br/>
        <w:t xml:space="preserve">by the company Compagnie bretonne de diffusion automobile  </w:t>
        <w:br/>
        <w:t xml:space="preserve">The Competition Authority,  </w:t>
        <w:br/>
        <w:t xml:space="preserve">Having regard to the notification file sent to the mergers department on October 5, 2022, declared complete on December 7, 2022, concerning the acquisition of control of the company Utilitaires services by the company Compagnie bretonne de diffusion automobile, formalized by a transfer agreement dated July 22,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the company Utilitaires services, operating automotive dealerships under the Volkswagen utilitaires brand, located in Cesson-Sévigné (35) and Yffiniac (22), by the company Compagnie bretonne de diffusion automobile itself active in the automotive distribution sector through its subsidiaries. It constitutes a concentration operation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22-188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