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https://www.autoritedelaconcurrence.fr/fr/decision-de-controle-des-concentrations/relative-la-prise-de-controle-exclusif-de-la-societe-383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23-DCC-12 of January 20, 2023  </w:t>
        <w:br/>
        <w:t xml:space="preserve">regarding the exclusive control acquisition of the company Freedom Car Dev  </w:t>
        <w:br/>
        <w:t xml:space="preserve">by the company Financière P.O.L  </w:t>
        <w:br/>
        <w:t xml:space="preserve">The Competition Authority,  </w:t>
        <w:br/>
        <w:t xml:space="preserve">Having regard to the complete notification file sent to the mergers department on December 29, 2022  </w:t>
        <w:br/>
        <w:t xml:space="preserve">regarding the exclusive control acquisition of the company Freedom Car Dev by the company  </w:t>
        <w:br/>
        <w:t xml:space="preserve">Financière P.O.L, formalized by a share transfer agreement and its amendment of  </w:t>
        <w:br/>
        <w:t xml:space="preserve">December 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company Freedom Car Dev and  </w:t>
        <w:br/>
        <w:t xml:space="preserve">its subsidiaries, active in the sector of distribution of Porsche brand vehicles and repair, in Beaucouzé (49), Cesson-Sévigné (35) and Saint Herblain (44), by the company  </w:t>
        <w:br/>
        <w:t xml:space="preserve">Financière P.O.L, a subsidiary of the Lecluse group. It constitutes a concentration operation within  </w:t>
        <w:br/>
        <w:t xml:space="preserve">the meaning of Article L. 430-1 of the Commercial Code. Given the turnover achieved  </w:t>
        <w:br/>
        <w:t xml:space="preserve">by the concerned companies, the operation does not fall under the jurisdiction of the European Union. However, the retail trade control thresholds mentioned in  </w:t>
        <w:br/>
        <w:t xml:space="preserve">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22-326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