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23-DCC-15 of January 23, 2023</w:t>
        <w:br/>
        <w:t>regarding the exclusive control acquisition of the company Mondial Pare-Brise</w:t>
        <w:br/>
        <w:t>by the company Macif SAM</w:t>
        <w:br/>
        <w:t>The Competition Authority,</w:t>
        <w:br/>
        <w:t>Having regard to the complete notification file submitted to the mergers department on</w:t>
        <w:br/>
        <w:t>December 22, 2022, concerning the exclusive control acquisition of the company Mondial Pare-Brise by the</w:t>
        <w:br/>
        <w:t>company Macif SAM, formalized by a share purchase agreement dated December 16,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Mondial Pare-Brise,</w:t>
        <w:br/>
        <w:t>active in vehicle glass repair and replacement services, by the company Macif SAM, primarily active in the insurance sector. It constitutes a concentration operation within the meaning of Article L. 430-1 of the Commercial Code. Given the revenues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22-273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