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https://www.autoritedelaconcurrence.fr/fr/decision-de-controle-des-concentrations/relative-la-prise-de-controle-exclusif-de-la-societe-386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23-DCC-21 of January 27, 2023  </w:t>
        <w:br/>
        <w:t xml:space="preserve">regarding the exclusive control acquisition of the company Eurolocatique by  </w:t>
        <w:br/>
        <w:t xml:space="preserve">the company BPCE Lease  </w:t>
        <w:br/>
        <w:t xml:space="preserve">The Competition Authority,  </w:t>
        <w:br/>
        <w:t xml:space="preserve">Having regard to the complete notification file submitted to the mergers department on January 11, 2023,  </w:t>
        <w:br/>
        <w:t xml:space="preserve">concerning the exclusive control acquisition of the company Eurolocatique and its subsidiary, the company  </w:t>
        <w:br/>
        <w:t xml:space="preserve">Médidan by the company BPCE Lease, formalized by the share transfer agreement of November 25, 2022;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company Eurolocatique and its  </w:t>
        <w:br/>
        <w:t xml:space="preserve">subsidiary, the company Médidan by the company BPCE Lease, a company of the BPCE group. The company  </w:t>
        <w:br/>
        <w:t xml:space="preserve">Eurolocatique is active in the financial leasing of medical goods in France. The BPCE group is a banking group active notably in retail banking and insurance in France. The operation constitutes a concentration operation within the meaning of Article L. 430-1 of the Commercial Code. Given the turnover achieved by the concerned companies, the operation does not fall under the jurisdiction of the European Union. However, the control thresholds mentioned in I of Article L. 430-2 of the Commercial Code are exceeded. 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22-308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