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https://www.autoritedelaconcurrence.fr/fr/decision-de-controle-des-concentrations/relative-la-prise-de-controle-exclusif-de-la-societe-387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23-DCC-23 of January 30, 2023</w:t>
        <w:br/>
        <w:t>regarding the exclusive control acquisition of the company Diramode by the</w:t>
        <w:br/>
        <w:t>company Lee Cooper France</w:t>
        <w:br/>
        <w:t>The Competition Authority,</w:t>
        <w:br/>
        <w:t>Having regard to the notification file submitted in full to the mergers department on January 12, 2023,</w:t>
        <w:br/>
        <w:t>concerning the exclusive control acquisition by the company Lee Cooper France (via the company Pimkinvest)</w:t>
        <w:br/>
        <w:t>of the company Diramode, formalized by a share transfer agreement dated January 16, 2023;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acquisition of exclusive control by the company Lee Cooper France</w:t>
        <w:br/>
        <w:t>(via the company Pimkinvest) of the company Diramode and its subsidiaries, including the company Promotion du</w:t>
        <w:br/>
        <w:t>prêt à porter, operating under the brand Pimkie, active in the sector of supply and wholesale and retail distribution of clothing and accessories for women. It constitutes</w:t>
        <w:br/>
        <w:t>a concentration operation within the meaning of Article L. 430-1 of the Commercial Code. Given</w:t>
        <w:br/>
        <w:t>the turnover generated by the companies concerned, the operation does not fall under the</w:t>
        <w:br/>
        <w:t>jurisdiction of the European Union. On the other hand, the control thresholds mentioned in I of</w:t>
        <w:br/>
        <w:t>Article L. 430-2 of the Commercial Code are exceeded. This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22-324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