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https://www.autoritedelaconcurrence.fr/fr/decision-de-controle-des-concentrations/relative-la-prise-de-controle-exclusif-de-la-societe-388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23-DCC-24 of January 31, 2023  </w:t>
        <w:br/>
        <w:t xml:space="preserve">regarding the exclusive control acquisition of the company Sofiram by the  </w:t>
        <w:br/>
        <w:t xml:space="preserve">Saint-Gatien group  </w:t>
        <w:br/>
        <w:t xml:space="preserve">The Competition Authority,  </w:t>
        <w:br/>
        <w:t xml:space="preserve">Having regard to the complete notification file submitted to the mergers department on January 16, 2023,  </w:t>
        <w:br/>
        <w:t xml:space="preserve">concerning the exclusive control acquisition of the company Sofiram by the company Holding Saint-Gatien,  </w:t>
        <w:br/>
        <w:t xml:space="preserve">the parent company of the Saint-Gatien group, formalized by the share transfer agreement of December 5,  </w:t>
        <w:br/>
        <w:t xml:space="preserve">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Sofiram by the Saint-Gatien group. The parties are primarily active in France in the sector of providing diagnostics and hospital care. The operation constitutes a concentration operation within the meaning of Article L. 430-1 of the Commercial Code. Given the revenues generated by the companies concerned,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22-322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