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23-DCC-29 of February 8, 2023  </w:t>
        <w:br/>
        <w:t xml:space="preserve">regarding the acquisition of exclusive control of the company Maincare Solutions  </w:t>
        <w:br/>
        <w:t xml:space="preserve">by Docaposte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January 18, 2023, concerning the acquisition of exclusive control of the company Maincare Solutions by the  </w:t>
        <w:br/>
        <w:t xml:space="preserve">company Docaposte, a subsidiary of the La Poste group, formalized by a securities transfer agreement dated January 12,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Maincare Solutions,  </w:t>
        <w:br/>
        <w:t xml:space="preserve">active in the e-health sector (through the intermediary of the company Esculape Capital), by the  </w:t>
        <w:br/>
        <w:t xml:space="preserve">company Docaposte, a subsidiary of the La Poste group, which is ultimately controlled by the Caisse des  </w:t>
        <w:br/>
        <w:t xml:space="preserve">dépôts et consignations. It constitutes a concentration operation within the meaning of Article  </w:t>
        <w:br/>
        <w:t xml:space="preserve">L. 430-1 of the Commercial Code. Given the turnover achieved by the concerned companies,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22-335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