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https://www.autoritedelaconcurrence.fr/fr/decision-de-controle-des-concentrations/relative-la-prise-de-controle-exclusif-de-la-societe-392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23-DCC-44 of March 7, 2023  </w:t>
        <w:br/>
        <w:t xml:space="preserve">regarding the exclusive control acquisition of the company Kitchen Academy  </w:t>
        <w:br/>
        <w:t xml:space="preserve">by the company Terence Capital  </w:t>
        <w:br/>
        <w:t xml:space="preserve">The Competition Authority,  </w:t>
        <w:br/>
        <w:t xml:space="preserve">Having regard to the complete notification file sent to the mergers department on February 14, 2023  </w:t>
        <w:br/>
        <w:t xml:space="preserve">concerning the exclusive control acquisition of the company Kitchen Academy by the company  </w:t>
        <w:br/>
        <w:t xml:space="preserve">Terence Capital and materialized by a unilateral purchase promise dated December 20, 2022;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Having regard to the additional elements provided by the notifying party during the investigation;  </w:t>
        <w:br/>
        <w:t xml:space="preserve">Adopts the following decision:  </w:t>
        <w:br/>
        <w:t xml:space="preserve">1. The notified operation consists of the exclusive control acquisition by the company Terence Capital of  </w:t>
        <w:br/>
        <w:t xml:space="preserve">the company Kitchen Academy. These companies are notably active in the markets for  </w:t>
        <w:br/>
        <w:t xml:space="preserve">the supply and retail distribution of tableware products, through the Alice Délice stores for Kitchen Academy and through the Habitat stores for Terence Capital.  </w:t>
        <w:br/>
        <w:t xml:space="preserve">The operation constitutes a concentration operation within the meaning of Article L. 430-1 of the Commercial Code. Given the turnover achieved by the companies concerned,  </w:t>
        <w:br/>
        <w:t xml:space="preserve">the operation does not fall under the jurisdiction of the European Union. On the other hand, the control thresholds mentioned in II of Article L. 430-2 of the Commercial Code are exceeded. This  </w:t>
        <w:br/>
        <w:t xml:space="preserve">operation is therefore subject to the provisions of Articles L. 430-3 and following of the Commercial Code relating to economic concentration.  </w:t>
        <w:br/>
        <w:t xml:space="preserve">2. In light of the elements of the file, the operation is not likely to harm competition  </w:t>
        <w:br/>
        <w:t>in the relevant markets.</w:t>
      </w:r>
    </w:p>
    <w:p>
      <w:r>
        <w:t xml:space="preserve">DECIDES  </w:t>
        <w:br/>
        <w:t xml:space="preserve">Sole Article: The operation notified under number 23-002 is authorized.  </w:t>
        <w:br/>
        <w:t xml:space="preserve">The President,  </w:t>
        <w:br/>
        <w:t xml:space="preserve">Benoît Cœuré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